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1387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Transportation; April</w:t>
      </w:r>
      <w:r xml:space="preserve">
        <w:t> </w:t>
      </w:r>
      <w:r>
        <w:t xml:space="preserve">12,</w:t>
      </w:r>
      <w:r xml:space="preserve">
        <w:t> </w:t>
      </w:r>
      <w:r>
        <w:t xml:space="preserve">2023, reported adversely, with favorable Committee Substitute by the following vote: </w:t>
      </w:r>
      <w:r>
        <w:t xml:space="preserve"> </w:t>
      </w:r>
      <w:r>
        <w:t xml:space="preserve">Yeas 8, Nays 0, one present not voting;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1387</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dynamic message signs used in certain statewide alert systems.</w:t>
      </w:r>
    </w:p>
    <w:p w:rsidR="003F3435" w:rsidRDefault="0032493E">
      <w:pPr>
        <w:spacing w:line="480" w:lineRule="auto"/>
        <w:ind w:firstLine="720"/>
        <w:jc w:val="both"/>
      </w:pPr>
      <w:r>
        <w:t xml:space="preserve">BE IT ENACTED BY THE LEGISLATURE OF THE STATE OF TEXAS: SECTION 1. Chapter 411, Government Code, is amended by adding Subchapter K-2 to read as follows:</w:t>
      </w:r>
    </w:p>
    <w:p w:rsidR="003F3435" w:rsidRDefault="0032493E">
      <w:pPr>
        <w:spacing w:line="480" w:lineRule="auto"/>
        <w:jc w:val="center"/>
      </w:pPr>
      <w:r>
        <w:rPr>
          <w:u w:val="single"/>
        </w:rPr>
        <w:t xml:space="preserve">SUBCHAPTER K-2. </w:t>
      </w:r>
      <w:r>
        <w:rPr>
          <w:u w:val="single"/>
        </w:rPr>
        <w:t xml:space="preserve"> </w:t>
      </w:r>
      <w:r>
        <w:rPr>
          <w:u w:val="single"/>
        </w:rPr>
        <w:t xml:space="preserve">DYNAMIC MESSAGE SIGNS FOR ALERT SYSTEMS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411.321.</w:t>
      </w:r>
      <w:r>
        <w:rPr>
          <w:u w:val="single"/>
        </w:rPr>
        <w:t xml:space="preserve"> </w:t>
      </w:r>
      <w:r>
        <w:rPr>
          <w:u w:val="single"/>
        </w:rPr>
        <w:t xml:space="preserve"> </w:t>
      </w:r>
      <w:r>
        <w:rPr>
          <w:u w:val="single"/>
        </w:rPr>
        <w:t xml:space="preserve">DYNAMIC MESSAGE SIGNS.  (a)</w:t>
      </w:r>
      <w:r>
        <w:rPr>
          <w:u w:val="single"/>
        </w:rPr>
        <w:t xml:space="preserve"> </w:t>
      </w:r>
      <w:r>
        <w:rPr>
          <w:u w:val="single"/>
        </w:rPr>
        <w:t xml:space="preserve"> </w:t>
      </w:r>
      <w:r>
        <w:rPr>
          <w:u w:val="single"/>
        </w:rPr>
        <w:t xml:space="preserve">Except as provided by Subsection (c), the Texas Department of Transportation shall provide information necessary for statewide alert systems created under Subchapters K-1, L, L-1, M, P, P-1, and Q through a system of  dynamic message signs that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across the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capable of displaying digital images useful in locating a missing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Department of Transportation may enter into an agreement with a private entity to install or operate the dynamic message signs described by Subsection (a) and shall request from the Federal Highway Administration for any provisions necessary for implementation with the private entity. </w:t>
      </w:r>
      <w:r>
        <w:rPr>
          <w:u w:val="single"/>
        </w:rPr>
        <w:t xml:space="preserve"> </w:t>
      </w:r>
      <w:r>
        <w:rPr>
          <w:u w:val="single"/>
        </w:rPr>
        <w:t xml:space="preserve">An agreement under this subsection must generate net revenue to the state and reduce the amount of tax revenue necessary to fund the installation and operation of the dynamic message signs described by Subsection (a). </w:t>
      </w:r>
      <w:r>
        <w:rPr>
          <w:u w:val="single"/>
        </w:rPr>
        <w:t xml:space="preserve"> </w:t>
      </w:r>
      <w:r>
        <w:rPr>
          <w:u w:val="single"/>
        </w:rPr>
        <w:t xml:space="preserve">The Texas Department of Transportation may accept gifts and grants of money, equipment, or other resources necessary to install and operate the dynamic message signs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Department of Transportation is not required to comply with Subsection (a) if that department receives notice from the United States Department of Transportation Federal Highway Administration that the use of the dynamic message signs described by that subsection would result in the loss of federal highway funding or other punitive actions taken against this state due to noncompliance with federal laws, regulations, or policies.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