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1388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operating a premises for unlawful controlled substance consumption.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481, Health and Safety Code, is amended by adding Section 481.142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481.142.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OFFENSE: </w:t>
      </w:r>
      <w:r>
        <w:rPr>
          <w:u w:val="single"/>
        </w:rPr>
        <w:t xml:space="preserve"> </w:t>
      </w:r>
      <w:r>
        <w:rPr>
          <w:u w:val="single"/>
        </w:rPr>
        <w:t xml:space="preserve">OPERATING PREMISES FOR UNLAWFUL CONTROLLED SUBSTANCE CONSUMPTION.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"premises" has the meaning assigned by Section 46.03,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owns, rents, leases, manages, or otherwise controls any premises, permanently or temporarily;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knowingly: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operates the premises for the purpose of allowing persons on the premises to use a controlled substance in violation of this chapter;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rents, leases, or otherwise profits from a premises described by Subdivision (1) that is operated or otherwise made available for the purpose of allowing persons on the premises to use a controlled substance in violation of this chapter;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regardless of whether compensation is expected or received, makes the premises available to others for the purpose of allowing persons on the premises to use a controlled substance in violation of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felony of the second degree.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conduct engaged in with respect to a premises on which controlled substances are consumed pursuant to a valid prescription, including a facility for medication-assisted treatment for opioid or substance use disorder.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that constitutes an offense under this section also constitutes an offense under any other law, the actor may be prosecuted under this section, the other law, or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