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88R13467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adoption assistance agreements for certain children after a final adoption order is 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162.304, Family Code, is amended by adding Subsection (b-3)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adoption assistance agreement for a child after a court has entered a final order of adoption if the child: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adoption is finalized, is diagnosed by the child's health care provider as having special needs;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would have qualified for adoption assistance under Subsection (a) if the child was determined to have special needs before the adoption.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an adoption for which the final order is rendered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