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88R7092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made to certain victims of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42.037, Code of Criminal Procedure,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law, if the court orders restitution under this article to be made to a victim of an offense under Section 31.03, Penal Code, and the court determines that the defendant committed the offense solely as a victim of an offense under Section 20A.02 or 20A.03, Penal Code, the court shall order the restitution to be paid from the compensation to victims of crime fund established under Subchapter J, Chapter 56B.  The court may not order the defendant to make restitution to the victim or to reimburse the compensation to victims of crime fund for any amount paid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56B.453, Code of Criminal Procedure,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shall use the fund to pay court-ordered restitution as required by Article 42.037(d-1) to a victim of an offense under Section 31.03, Penal Code, if the defendant committed the offense solely as a victim of an offense under Section 20A.02 or 20A.03,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