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1393</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in the area surrounding, but not located more than four miles beyond, the Texas Windstorm Insurance Association catastrophe area designated under Section 2210.005, 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