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1399</w:t>
      </w:r>
    </w:p>
    <w:p w:rsidR="003F3435" w:rsidRDefault="0032493E">
      <w:pPr>
        <w:ind w:firstLine="720"/>
        <w:jc w:val="both"/>
      </w:pPr>
      <w:r>
        <w:t xml:space="preserve">(Bell of Kaufman)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renewal and review of standard permits for certain concrete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(e-1) and amending Subsection (k)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This subsection applies only to a standard permit issued under this section that authorizes the operation of a permanent concrete plant that performs wet batching, dry batching, or central mixing, as defined by the commission.  The commission shall at least once every six years conduct a protectiveness review of the permit regarding the operation of a permanent concrete plant described by this subsection,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under Subsection (f) that provides facility operators a reasonable amount of time to comply with the amended permit.  Each authorization to use the permit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(k)</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t xml:space="preserve">(1)</w:t>
      </w:r>
      <w:r xml:space="preserve">
        <w:t> </w:t>
      </w:r>
      <w:r xml:space="preserve">
        <w:t> </w:t>
      </w:r>
      <w:r>
        <w:t xml:space="preserve">a distance scale;</w:t>
      </w:r>
    </w:p>
    <w:p w:rsidR="003F3435" w:rsidRDefault="0032493E">
      <w:pPr>
        <w:spacing w:line="480" w:lineRule="auto"/>
        <w:ind w:firstLine="1440"/>
        <w:jc w:val="both"/>
      </w:pPr>
      <w:r>
        <w:t xml:space="preserve">(2)</w:t>
      </w:r>
      <w:r xml:space="preserve">
        <w:t> </w:t>
      </w:r>
      <w:r xml:space="preserve">
        <w:t> </w:t>
      </w:r>
      <w:r>
        <w:t xml:space="preserve">a north arrow;</w:t>
      </w:r>
    </w:p>
    <w:p w:rsidR="003F3435" w:rsidRDefault="0032493E">
      <w:pPr>
        <w:spacing w:line="480" w:lineRule="auto"/>
        <w:ind w:firstLine="1440"/>
        <w:jc w:val="both"/>
      </w:pPr>
      <w:r>
        <w:t xml:space="preserve">(3)</w:t>
      </w:r>
      <w:r xml:space="preserve">
        <w:t> </w:t>
      </w:r>
      <w:r xml:space="preserve">
        <w:t> </w:t>
      </w:r>
      <w: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t xml:space="preserve">(4)</w:t>
      </w:r>
      <w:r xml:space="preserve">
        <w:t> </w:t>
      </w:r>
      <w:r xml:space="preserve">
        <w:t> </w:t>
      </w:r>
      <w:r>
        <w:t xml:space="preserve">at least two benchmark locations in the area in which the facility will be located; and</w:t>
      </w:r>
    </w:p>
    <w:p w:rsidR="003F3435" w:rsidRDefault="0032493E">
      <w:pPr>
        <w:spacing w:line="480" w:lineRule="auto"/>
        <w:ind w:firstLine="1440"/>
        <w:jc w:val="both"/>
      </w:pPr>
      <w:r>
        <w:t xml:space="preserve">(5)</w:t>
      </w:r>
      <w:r xml:space="preserve">
        <w:t> </w:t>
      </w:r>
      <w:r xml:space="preserve">
        <w:t> </w:t>
      </w:r>
      <w: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must include a plot plan that meets the requirements of Section 382.05195(k).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at least once every six years conduct a protectiveness review of a standard permit issued under this 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that provides facility operators a reasonable amount of time to comply with the amended permit.  Each authorization to use a standard permit issued under this section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March 1, 2024, the Texas Commission on Environmental Quality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After the effective date of this Act, notwithstanding the changes in law made by this Act, the Texas Commission on Environmental Quality may allow the continuation of an authorization to use a permit issued before the effective date of this Act until the date the authorization would have been eligible for renewal under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