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1402</w:t>
      </w:r>
    </w:p>
    <w:p w:rsidR="003F3435" w:rsidRDefault="0032493E">
      <w:pPr>
        <w:ind w:firstLine="720"/>
        <w:jc w:val="both"/>
      </w:pPr>
      <w:r>
        <w:t xml:space="preserve">(Howard, Guillen, Neave Criado, Garcia, Harless,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continuation, and duties of the Sexual Assault Survivors' Task Force, compensation for task force members and certain other task force participants, and establishment of a mandatory training program for peace officers on responding to reports of child sexual abuse and adult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772.0064, Government Code, is amended by amending Subsections (d) and (m) and adding Subsection (n) to read as follows:</w:t>
      </w:r>
    </w:p>
    <w:p w:rsidR="003F3435" w:rsidRDefault="0032493E">
      <w:pPr>
        <w:spacing w:line="480" w:lineRule="auto"/>
        <w:ind w:firstLine="720"/>
        <w:jc w:val="both"/>
      </w:pPr>
      <w:r>
        <w:t xml:space="preserve">(d)</w:t>
      </w:r>
      <w:r xml:space="preserve">
        <w:t> </w:t>
      </w:r>
      <w:r xml:space="preserve">
        <w:t> </w:t>
      </w:r>
      <w:r>
        <w:t xml:space="preserve">The task force is composed of the following members:</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a representative of each state agency that has duties relating to the prevention, investigation, or prosecution of sexual assault or other sex offenses or provides services to survivors, including:</w:t>
      </w:r>
    </w:p>
    <w:p w:rsidR="003F3435" w:rsidRDefault="0032493E">
      <w:pPr>
        <w:spacing w:line="480" w:lineRule="auto"/>
        <w:ind w:firstLine="2160"/>
        <w:jc w:val="both"/>
      </w:pPr>
      <w:r>
        <w:t xml:space="preserve">(A)</w:t>
      </w:r>
      <w:r xml:space="preserve">
        <w:t> </w:t>
      </w:r>
      <w:r xml:space="preserve">
        <w:t> </w:t>
      </w:r>
      <w:r>
        <w:t xml:space="preserve">the office of the attorney general;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Health and Human Services Commission;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executive director of the Texas Commission on Law Enforcement or the executive director's designee;</w:t>
      </w:r>
    </w:p>
    <w:p w:rsidR="003F3435" w:rsidRDefault="0032493E">
      <w:pPr>
        <w:spacing w:line="480" w:lineRule="auto"/>
        <w:ind w:firstLine="1440"/>
        <w:jc w:val="both"/>
      </w:pPr>
      <w:r>
        <w:t xml:space="preserve">(4)</w:t>
      </w:r>
      <w:r xml:space="preserve">
        <w:t> </w:t>
      </w:r>
      <w:r xml:space="preserve">
        <w:t> </w:t>
      </w:r>
      <w:r>
        <w:t xml:space="preserve">the presiding officer of the Texas Forensic Science Commission or the presiding officer's designee;</w:t>
      </w:r>
    </w:p>
    <w:p w:rsidR="003F3435" w:rsidRDefault="0032493E">
      <w:pPr>
        <w:spacing w:line="480" w:lineRule="auto"/>
        <w:ind w:firstLine="1440"/>
        <w:jc w:val="both"/>
      </w:pPr>
      <w:r>
        <w:t xml:space="preserve">(5)</w:t>
      </w:r>
      <w:r xml:space="preserve">
        <w:t> </w:t>
      </w:r>
      <w:r xml:space="preserve">
        <w:t> </w:t>
      </w:r>
      <w:r>
        <w:t xml:space="preserve">the division director of the law enforcement support division of the Texas Department of Public Safety with authority over the Crime Laboratory Service or the division director's designee;</w:t>
      </w:r>
    </w:p>
    <w:p w:rsidR="003F3435" w:rsidRDefault="0032493E">
      <w:pPr>
        <w:spacing w:line="480" w:lineRule="auto"/>
        <w:ind w:firstLine="1440"/>
        <w:jc w:val="both"/>
      </w:pPr>
      <w:r>
        <w:t xml:space="preserve">(6)</w:t>
      </w:r>
      <w:r xml:space="preserve">
        <w:t> </w:t>
      </w:r>
      <w:r xml:space="preserve">
        <w:t> </w:t>
      </w:r>
      <w:r>
        <w:t xml:space="preserve">the president of the Texas Association of Crime Laboratory Directors or the president's designee;</w:t>
      </w:r>
    </w:p>
    <w:p w:rsidR="003F3435" w:rsidRDefault="0032493E">
      <w:pPr>
        <w:spacing w:line="480" w:lineRule="auto"/>
        <w:ind w:firstLine="1440"/>
        <w:jc w:val="both"/>
      </w:pPr>
      <w:r>
        <w:t xml:space="preserve">(7)</w:t>
      </w:r>
      <w:r xml:space="preserve">
        <w:t> </w:t>
      </w:r>
      <w:r xml:space="preserve">
        <w:t> </w:t>
      </w:r>
      <w:r>
        <w:t xml:space="preserve">the president of the Texas District and County Attorney's Association or the president's designee;</w:t>
      </w:r>
    </w:p>
    <w:p w:rsidR="003F3435" w:rsidRDefault="0032493E">
      <w:pPr>
        <w:spacing w:line="480" w:lineRule="auto"/>
        <w:ind w:firstLine="1440"/>
        <w:jc w:val="both"/>
      </w:pPr>
      <w:r>
        <w:t xml:space="preserve">(8)</w:t>
      </w:r>
      <w:r xml:space="preserve">
        <w:t> </w:t>
      </w:r>
      <w:r xml:space="preserve">
        <w:t> </w:t>
      </w:r>
      <w:r>
        <w:t xml:space="preserve">[</w:t>
      </w:r>
      <w:r>
        <w:rPr>
          <w:strike/>
        </w:rPr>
        <w:t xml:space="preserve">the president of the Texas Society of Pathologists or the president's designee;</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the president of the International Association of Forensic Nurses Texas Chapter or the president's designee;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president of the statewide organization described by Section 264.409, Family Code, or the president's designee;</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president of the state sexual assault coalition, as defined by Section 420.003, or the president's designee;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a representative from a law enforcement agency appointed by the steering committee described by Subsection (c);</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a sexual assault nurse examiner appointed by the steering committee described by Subsection (c) to represent the interests of health care facilities that perform sexual assault forensic exams;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adult survivor of child sexual abuse or the parent or guardian of a survivor of child sexual abuse;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survivor of adult sexual assault;</w:t>
      </w:r>
      <w:r>
        <w:t xml:space="preserve">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other members considered appropriate by the steering committee described by Subsection (c).</w:t>
      </w:r>
    </w:p>
    <w:p w:rsidR="003F3435" w:rsidRDefault="0032493E">
      <w:pPr>
        <w:spacing w:line="480" w:lineRule="auto"/>
        <w:ind w:firstLine="720"/>
        <w:jc w:val="both"/>
      </w:pPr>
      <w:r>
        <w:t xml:space="preserve">(m)</w:t>
      </w:r>
      <w:r xml:space="preserve">
        <w:t> </w:t>
      </w:r>
      <w:r xml:space="preserve">
        <w:t> </w:t>
      </w:r>
      <w:r>
        <w:rPr>
          <w:u w:val="single"/>
        </w:rPr>
        <w:t xml:space="preserve">Chapter 2110 does not apply to the composition or duration of the task force or to the designation of the task force's presiding officer</w:t>
      </w:r>
      <w:r>
        <w:t xml:space="preserve"> [</w:t>
      </w:r>
      <w:r>
        <w:rPr>
          <w:strike/>
        </w:rPr>
        <w:t xml:space="preserve">This section expires September 1, 2023</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task force member who is not employed by a state agency or an individual invited by the governor to participate in scheduled task force meetings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the amount provided by the General Appropriations Act for each day the member performs duties as a task force member or the individual attends a task force meeting;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actual and necessary expenses incurred in performing duties as a member or participant of the task force, as applicable.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basic education and training program developed under Section 1701.272.  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RESPONDING TO SEXUAL ABUSE OR ASSAULT.  (a) </w:t>
      </w:r>
      <w:r>
        <w:rPr>
          <w:u w:val="single"/>
        </w:rPr>
        <w:t xml:space="preserve"> </w:t>
      </w:r>
      <w:r>
        <w:rPr>
          <w:u w:val="single"/>
        </w:rPr>
        <w:t xml:space="preserve">The commission shall, in consultation with the Sexual Assault Survivors' Task Force established under Section 772.0064, Government Code, establish a basic education and training program on child sexual abuse and adult sexual assault, including the use of best practices and trauma-informed response techniques to effectively recognize, investigate, and document those cases. </w:t>
      </w:r>
      <w:r>
        <w:rPr>
          <w:u w:val="single"/>
        </w:rPr>
        <w:t xml:space="preserve"> </w:t>
      </w:r>
      <w:r>
        <w:rPr>
          <w:u w:val="single"/>
        </w:rPr>
        <w:t xml:space="preserve">The training program must consist of at least eight hours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program unless the officer has completed the training under Section 1701.253(q) or other training equivalent to the training program as determined by the commission.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1701.253(b-2), Occupations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