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1403</w:t>
      </w:r>
    </w:p>
    <w:p w:rsidR="003F3435" w:rsidRDefault="0032493E">
      <w:pPr>
        <w:ind w:firstLine="720"/>
        <w:jc w:val="both"/>
      </w:pPr>
      <w:r>
        <w:t xml:space="preserve">(Spiller, Hefner, Clardy, Cook,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border security, including building a border wall and sharing state intelligence and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794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794. </w:t>
      </w:r>
      <w:r>
        <w:rPr>
          <w:u w:val="single"/>
        </w:rPr>
        <w:t xml:space="preserve"> </w:t>
      </w:r>
      <w:r>
        <w:rPr>
          <w:u w:val="single"/>
        </w:rPr>
        <w:t xml:space="preserve">INTERSTATE COMPACT FOR BORDER SECURITY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 On behalf of this state, the governor shall develop and execute an interstate compact for border security among interested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 The compact authorized by this chapter must provide for joint action among compacting states on matters that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law enforcement intelligence on illegal activity occurring at the border with Mexico;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state resources in order to build a physical barrier, a comprehensive technological surveillance system, or both, on state land to deter or detect illegal activity occurring at the border with Mexico;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other law enforcement resources to ensure the protection of personnel and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