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temporary regulation of the practice of veterinary medicine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w:t>
      </w:r>
      <w:r>
        <w:t xml:space="preserve"> </w:t>
      </w:r>
      <w:r>
        <w:t xml:space="preserve">The State Board of Veterinary Medical Examiners is subject to Chapter 325, Government Code (Texas Sunset Act).</w:t>
      </w:r>
      <w:r xml:space="preserve">
        <w:t> </w:t>
      </w:r>
      <w:r xml:space="preserve">
        <w:t> </w:t>
      </w:r>
      <w:r>
        <w:t xml:space="preserve">Unless continued in existence as provided by that chapter, the board is abolished September 1, </w:t>
      </w:r>
      <w:r>
        <w:rPr>
          <w:u w:val="single"/>
        </w:rPr>
        <w:t xml:space="preserve">2027</w:t>
      </w:r>
      <w:r>
        <w:t xml:space="preserve"> [</w:t>
      </w:r>
      <w:r>
        <w:rPr>
          <w:strike/>
        </w:rPr>
        <w:t xml:space="preserve">2029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801, Occupations Code, is amended by adding Subchapter A-1 to read as follows:</w:t>
      </w:r>
    </w:p>
    <w:p w:rsidR="003F3435" w:rsidRDefault="0032493E">
      <w:pPr>
        <w:spacing w:line="480" w:lineRule="auto"/>
        <w:jc w:val="center"/>
      </w:pPr>
      <w:r>
        <w:rPr>
          <w:u w:val="single"/>
        </w:rPr>
        <w:t xml:space="preserve">SUBCHAPTER A-1.  TEMPORARY REGULATION BY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801.022.</w:t>
      </w:r>
      <w:r>
        <w:rPr>
          <w:u w:val="single"/>
        </w:rPr>
        <w:t xml:space="preserve"> </w:t>
      </w:r>
      <w:r>
        <w:rPr>
          <w:u w:val="single"/>
        </w:rPr>
        <w:t xml:space="preserve"> </w:t>
      </w:r>
      <w:r>
        <w:rPr>
          <w:u w:val="single"/>
        </w:rPr>
        <w:t xml:space="preserve">TEMPORARY ADMINISTRATION OF CHAPTER BY DEPARTMENT; RULES. </w:t>
      </w:r>
      <w:r>
        <w:rPr>
          <w:u w:val="single"/>
        </w:rPr>
        <w:t xml:space="preserve"> </w:t>
      </w:r>
      <w:r>
        <w:rPr>
          <w:u w:val="single"/>
        </w:rPr>
        <w:t xml:space="preserve">(a)  Notwithstanding any other law, the department shall assume all policy-making powers of the board and administer this chapter. </w:t>
      </w:r>
      <w:r>
        <w:rPr>
          <w:u w:val="single"/>
        </w:rPr>
        <w:t xml:space="preserve"> </w:t>
      </w:r>
      <w:r>
        <w:rPr>
          <w:u w:val="single"/>
        </w:rPr>
        <w:t xml:space="preserve">The department may contract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or duty granted to the board under this chapter is a power or duty of the executive director of the department, the department, or the commission,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executive director of the department may delegate, or withdraw any delegation of, any power or duty under this chapter to the board or the executive director of the board. </w:t>
      </w:r>
      <w:r>
        <w:rPr>
          <w:u w:val="single"/>
        </w:rPr>
        <w:t xml:space="preserve"> </w:t>
      </w:r>
      <w:r>
        <w:rPr>
          <w:u w:val="single"/>
        </w:rPr>
        <w:t xml:space="preserve">The delegation or withdrawal of delegation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801.024(c), the commission shall adopt all rules necessary to implement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2026, the department shall conduct a review under Section 2001.039, Government Code, of each rule under 22 T.A.C. Part 24.  In conducting the review under this subsection, the department shall ensure that license holders and the public have a meaningful opportunity to provide input and recommend changes to the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propose necessary amendments to a rule, or the repeal of a rule, for which the department determines the board lacks a sufficient reason or authority to adopt or enforce.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any rulemaking or contested case for which an expert witness is necessary, the commission or department, as applicable, may have a member of the board who is a veterinarian licensed in good standing in this state serve as the expert witness.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801.023.</w:t>
      </w:r>
      <w:r>
        <w:rPr>
          <w:u w:val="single"/>
        </w:rPr>
        <w:t xml:space="preserve"> </w:t>
      </w:r>
      <w:r>
        <w:rPr>
          <w:u w:val="single"/>
        </w:rPr>
        <w:t xml:space="preserve"> </w:t>
      </w:r>
      <w:r>
        <w:rPr>
          <w:u w:val="single"/>
        </w:rPr>
        <w:t xml:space="preserve">SEPARATION OF ADMINISTRATIVE FUNCTIONS OF BOARD.  (a)  The executive director of the department shall direct and may dismiss the executive director of the board.  The presiding officer of the commission shall appoint a replacement executive director of the board if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the executive director of the board is responsible for the administration of financial services, human resources, and workforce development duties of the board,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accounts payable and accounts receivable;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budgeting, inventory, and asset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payroll;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personnel and labor issues;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purchasing;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recruitment, evaluation, selection, training, and promotion of personnel;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submitting required reports regarding finances, performance measures, strategic planning, legislative appropriations requests, operating budgets, and similar information as required by law;</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legal support services, including responding to requests for public information;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technology and support.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provides any of the functions listed in Subsection (b), the board shall reimburse the department for administrative costs incurred in providing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801.024.</w:t>
      </w:r>
      <w:r>
        <w:rPr>
          <w:u w:val="single"/>
        </w:rPr>
        <w:t xml:space="preserve"> </w:t>
      </w:r>
      <w:r>
        <w:rPr>
          <w:u w:val="single"/>
        </w:rPr>
        <w:t xml:space="preserve"> </w:t>
      </w:r>
      <w:r>
        <w:rPr>
          <w:u w:val="single"/>
        </w:rPr>
        <w:t xml:space="preserve">ADVISORY BOARD.  (a) </w:t>
      </w:r>
      <w:r>
        <w:rPr>
          <w:u w:val="single"/>
        </w:rPr>
        <w:t xml:space="preserve"> </w:t>
      </w:r>
      <w:r>
        <w:rPr>
          <w:u w:val="single"/>
        </w:rPr>
        <w:t xml:space="preserve">Notwithstanding Subchapter D, the board is an advisory board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the equine dental provider advisory committee, and any advisory committee appointed under Section 801.163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relating to the scope of practice of or a health-related standard of care for the practice of the profession of veterinary medicine.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review each rule adopted under Subsection (c) and, if the commission determines that the rule is not authorized by this chapter or other law or is an unauthorized anticompetitive rule, issue an order stating that determination. </w:t>
      </w:r>
      <w:r>
        <w:rPr>
          <w:u w:val="single"/>
        </w:rPr>
        <w:t xml:space="preserve"> </w:t>
      </w:r>
      <w:r>
        <w:rPr>
          <w:u w:val="single"/>
        </w:rPr>
        <w:t xml:space="preserve">A rule for which an order is issued under this subsection may not take effect or be enforced.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801.025.</w:t>
      </w:r>
      <w:r>
        <w:rPr>
          <w:u w:val="single"/>
        </w:rPr>
        <w:t xml:space="preserve"> </w:t>
      </w:r>
      <w:r>
        <w:rPr>
          <w:u w:val="single"/>
        </w:rPr>
        <w:t xml:space="preserve"> </w:t>
      </w:r>
      <w:r>
        <w:rPr>
          <w:u w:val="single"/>
        </w:rPr>
        <w:t xml:space="preserve">CONFLICT WITH OTHER LAW.  (a)  Notwithstanding Section 51.003, to the extent of any conflict between this chapter and Chapter 51, this chapter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between this subchapter and another provision of this chapter,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801.026.</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"Board" means the State Board of Veterinary Medical Examiners.</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Not later than October 1, 2023, the Department of Information Resources shall consult with the department and the board to assess the database needs of the board and establish a plan for the procurement and acquisition of a database suitable to address those needs.</w:t>
      </w:r>
    </w:p>
    <w:p w:rsidR="003F3435" w:rsidRDefault="0032493E">
      <w:pPr>
        <w:spacing w:line="480" w:lineRule="auto"/>
        <w:ind w:firstLine="720"/>
        <w:jc w:val="both"/>
      </w:pPr>
      <w:r>
        <w:t xml:space="preserve">(c)</w:t>
      </w:r>
      <w:r xml:space="preserve">
        <w:t> </w:t>
      </w:r>
      <w:r xml:space="preserve">
        <w:t> </w:t>
      </w:r>
      <w:r>
        <w:t xml:space="preserve">Notwithstanding any other law, the board shall provide the Department of Information Resources and the department with access to any system, hardware, software, documents, or information necessary to achieve the purposes of Subsection (b) of this section.</w:t>
      </w:r>
    </w:p>
    <w:p w:rsidR="003F3435" w:rsidRDefault="0032493E">
      <w:pPr>
        <w:spacing w:line="480" w:lineRule="auto"/>
        <w:ind w:firstLine="720"/>
        <w:jc w:val="both"/>
      </w:pPr>
      <w:r>
        <w:t xml:space="preserve">(d)</w:t>
      </w:r>
      <w:r xml:space="preserve">
        <w:t> </w:t>
      </w:r>
      <w:r xml:space="preserve">
        <w:t> </w:t>
      </w:r>
      <w:r>
        <w:t xml:space="preserve">The provision of information under this section to the Department of Information Resources or the department does not waive confidentiality or privilege.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2024, the Texas Department of Licensing and Regulation shall submit to the Sunset Advisory Commission and each standing committee of the legislature with primary jurisdiction over the State Board of Veterinary Medical Examiners any legislative recommendations necessary to improve the board's operations.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1414 passed the Senate on April</w:t>
      </w:r>
      <w:r xml:space="preserve">
        <w:t> </w:t>
      </w:r>
      <w:r>
        <w:t xml:space="preserve">3,</w:t>
      </w:r>
      <w:r xml:space="preserve">
        <w:t> </w:t>
      </w:r>
      <w:r>
        <w:t xml:space="preserve">2023, by the following vote:  Yeas</w:t>
      </w:r>
      <w:r xml:space="preserve">
        <w:t> </w:t>
      </w:r>
      <w:r>
        <w:t xml:space="preserve">30, Nays</w:t>
      </w:r>
      <w:r xml:space="preserve">
        <w:t> </w:t>
      </w:r>
      <w:r>
        <w:t xml:space="preserve">0; and that the Senate concurred in House amendment on May</w:t>
      </w:r>
      <w:r xml:space="preserve">
        <w:t> </w:t>
      </w:r>
      <w:r>
        <w:t xml:space="preserve">27,</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1414 passed the House, with amendment, on May</w:t>
      </w:r>
      <w:r xml:space="preserve">
        <w:t> </w:t>
      </w:r>
      <w:r>
        <w:t xml:space="preserve">17,</w:t>
      </w:r>
      <w:r xml:space="preserve">
        <w:t> </w:t>
      </w:r>
      <w:r>
        <w:t xml:space="preserve">2023, by the following vote:  Yeas</w:t>
      </w:r>
      <w:r xml:space="preserve">
        <w:t> </w:t>
      </w:r>
      <w:r>
        <w:t xml:space="preserve">140,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