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January 1, 2024, unless Subdivision (2) applies to the qualified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