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88R11060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w:t>
      </w:r>
      <w:r xml:space="preserve">
        <w:t> </w:t>
      </w:r>
      <w:r xml:space="preserve">
        <w:t> </w:t>
      </w:r>
      <w:r>
        <w:t xml:space="preserve">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w:t>
      </w:r>
      <w:r xml:space="preserve">
        <w:t> </w:t>
      </w:r>
      <w:r xml:space="preserve">
        <w:t> </w:t>
      </w:r>
      <w:r>
        <w:t xml:space="preserve">For purposes of this subdivision, "meetings" means gatherings of people that 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travels </w:t>
      </w:r>
      <w:r>
        <w:rPr>
          <w:u w:val="single"/>
        </w:rPr>
        <w:t xml:space="preserve">at least 50 miles</w:t>
      </w:r>
      <w:r>
        <w:t xml:space="preserve"> from the individual's residence to a different municipality, county, state, or country for </w:t>
      </w:r>
      <w:r>
        <w:rPr>
          <w:u w:val="single"/>
        </w:rPr>
        <w:t xml:space="preserve">business,</w:t>
      </w:r>
      <w:r>
        <w:t xml:space="preserve"> pleasure, recreation, education, or culture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attends a meeting at a hotel or an event at a hotel;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spends the night at a hotel</w:t>
      </w:r>
      <w:r>
        <w:t xml:space="preserv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been spent by the municipality and the amount of that unexpended revenue, if any, that is spent in the municipality's budget for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exclusively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 [</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 applies only to a municipality to which this subchapter first applied on or after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Section 351.156 received by the state during the period beginning on the 10th anniversary of the date the qualified hotel opened for initial occupancy and ending on the 20th anniversary of that date from the same sources from which the municipality received revenue under Section 351.156.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municipality shall remit to the comptroller the municipal hotel occupancy tax revenue received by the municipality from the qualified hotel until the amount remitted to the comptroller equals the difference between the amount described by Subsection (b)(1) and the amount described by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new state tax revenue generated by the project that has been received by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been spent by the county and the amount of that unexpended revenue, if any, that is spent in the county's budget for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