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1429</w:t>
      </w:r>
    </w:p>
    <w:p w:rsidR="003F3435" w:rsidRDefault="0032493E">
      <w:pPr>
        <w:ind w:firstLine="720"/>
        <w:jc w:val="both"/>
      </w:pPr>
      <w:r>
        <w:t xml:space="preserve">(Herrero)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standardized examinations by a school of nursing or educational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301, Occupations Code, is amended by adding Section 301.1571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301.1571.</w:t>
      </w:r>
      <w:r>
        <w:rPr>
          <w:u w:val="single"/>
        </w:rPr>
        <w:t xml:space="preserve"> </w:t>
      </w:r>
      <w:r>
        <w:rPr>
          <w:u w:val="single"/>
        </w:rPr>
        <w:t xml:space="preserve"> </w:t>
      </w:r>
      <w:r>
        <w:rPr>
          <w:u w:val="single"/>
        </w:rPr>
        <w:t xml:space="preserve">USE OF STANDARDIZED EXAMINATIONS.  (a)  The board shall adopt rules related to the use by a school of nursing or educational program offered in this state of a standardized examination prepared by a private entity.  The rules must prohibit the use of a standardized examination as a graduation requirement or to deny students an affidavit of graduation.  The rules may authorize the use of a standardized examination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familiarize students with computerized testing;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potential or enrolled students for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serving as one component of admissions criteria;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evaluating a student's strengths and weaknesses for remediation purposes;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students experiencing academic difficulties who require early remediation;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 the effectiveness of the school of nursing or educational program by providing: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trend data on student performance;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comparison of student performance with nationwide averages;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feedback of student knowledge of program content;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data to monitor the effectiveness of specific course, level, and program curriculum revisions;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measure of student mastery of content;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evaluation of the effectiveness of curriculum content for revision purposes.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provide that a score on a standardized examination may not account for more than 10 percent of a course grade for a course in a school of nursing or educational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of nursing or educational program that determines a student is in need of academic remediation on the basis of a standardized examination may not require the student to attend any course offered by the examination provider.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comply with the rules adopted under Subsection (a) may subject the school of nursing or educational program to disciplinary action, including removal of the school's or program's approval status, as determined by the board.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Board of Nursing shall adopt the rules required by Section 301.1571,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