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1431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for a current or former administrative law judge for the State Office of Administrative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 regardless of whether the person complies with Section 552.024 or 552.1175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