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the emergency detention of certain persons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without a warrant, may take a person into custody, regardless of the age </w:t>
      </w:r>
      <w:r>
        <w:rPr>
          <w:u w:val="single"/>
        </w:rPr>
        <w:t xml:space="preserve">or location</w:t>
      </w:r>
      <w:r>
        <w:t xml:space="preserve"> of the person,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and</w:t>
      </w:r>
    </w:p>
    <w:p w:rsidR="003F3435" w:rsidRDefault="0032493E">
      <w:pPr>
        <w:spacing w:line="480" w:lineRule="auto"/>
        <w:ind w:firstLine="2160"/>
        <w:jc w:val="both"/>
      </w:pPr>
      <w:r>
        <w:t xml:space="preserve">(B)</w:t>
      </w:r>
      <w:r xml:space="preserve">
        <w:t> </w:t>
      </w:r>
      <w:r xml:space="preserve">
        <w:t> </w:t>
      </w:r>
      <w:r>
        <w:t xml:space="preserve">because of that mental illness there is a substantial risk of serious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573.012, Health and Safety Code, is amended by amending Subsections (a), (e), and (h) and adding Subsection (h-2)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(h), an applicant for emergency detention must present the application personally to a judge or magistrate.</w:t>
      </w:r>
      <w:r xml:space="preserve">
        <w:t> </w:t>
      </w:r>
      <w:r xml:space="preserve">
        <w:t> </w:t>
      </w:r>
      <w:r>
        <w:t xml:space="preserve">The judge or magistrate shall examine the application and may interview the applicant. </w:t>
      </w:r>
      <w:r>
        <w:t xml:space="preserve"> </w:t>
      </w:r>
      <w:r>
        <w:t xml:space="preserve">Except as provided by </w:t>
      </w:r>
      <w:r>
        <w:rPr>
          <w:u w:val="single"/>
        </w:rPr>
        <w:t xml:space="preserve">Subsections</w:t>
      </w:r>
      <w:r>
        <w:t xml:space="preserve"> [</w:t>
      </w:r>
      <w:r>
        <w:rPr>
          <w:strike/>
        </w:rPr>
        <w:t xml:space="preserve">Subsection</w:t>
      </w:r>
      <w:r>
        <w:t xml:space="preserve">] (g) </w:t>
      </w:r>
      <w:r>
        <w:rPr>
          <w:u w:val="single"/>
        </w:rPr>
        <w:t xml:space="preserve">and (h)</w:t>
      </w:r>
      <w:r>
        <w:t xml:space="preserve">,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(e)</w:t>
      </w:r>
      <w:r xml:space="preserve">
        <w:t> </w:t>
      </w:r>
      <w:r xml:space="preserve">
        <w:t> </w:t>
      </w:r>
      <w:r>
        <w:t xml:space="preserve">A person apprehended under this section </w:t>
      </w:r>
      <w:r>
        <w:rPr>
          <w:u w:val="single"/>
        </w:rPr>
        <w:t xml:space="preserve">who is not physically located in a mental health facility at the time the warrant is issued under Subsection (h-1)</w:t>
      </w:r>
      <w:r>
        <w:t xml:space="preserve"> shall be transported for a preliminary examination in accordance with Section 573.021 to:</w:t>
      </w:r>
    </w:p>
    <w:p w:rsidR="003F3435" w:rsidRDefault="0032493E">
      <w:pPr>
        <w:spacing w:line="480" w:lineRule="auto"/>
        <w:ind w:firstLine="1440"/>
        <w:jc w:val="both"/>
      </w:pPr>
      <w:r>
        <w:t xml:space="preserve">(1)</w:t>
      </w:r>
      <w:r xml:space="preserve">
        <w:t> </w:t>
      </w:r>
      <w:r xml:space="preserve">
        <w:t> </w:t>
      </w:r>
      <w:r>
        <w:t xml:space="preserve">the nearest appropriate inpatient mental health facility;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if an appropriate inpatient mental health facility is not available.</w:t>
      </w:r>
    </w:p>
    <w:p w:rsidR="003F3435" w:rsidRDefault="0032493E">
      <w:pPr>
        <w:spacing w:line="480" w:lineRule="auto"/>
        <w:ind w:firstLine="720"/>
        <w:jc w:val="both"/>
      </w:pPr>
      <w:r>
        <w:t xml:space="preserve">(h)</w:t>
      </w:r>
      <w:r xml:space="preserve">
        <w:t> </w:t>
      </w:r>
      <w:r xml:space="preserve">
        <w:t> </w:t>
      </w:r>
      <w:r>
        <w:t xml:space="preserve">A judge or magistrate </w:t>
      </w:r>
      <w:r>
        <w:rPr>
          <w:u w:val="single"/>
        </w:rPr>
        <w:t xml:space="preserve">shall</w:t>
      </w:r>
      <w:r>
        <w:t xml:space="preserve"> [</w:t>
      </w:r>
      <w:r>
        <w:rPr>
          <w:strike/>
        </w:rPr>
        <w:t xml:space="preserve">may</w:t>
      </w:r>
      <w:r>
        <w:t xml:space="preserve">] permit an applicant who is a physician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rPr>
          <w:u w:val="single"/>
        </w:rPr>
        <w:t xml:space="preserve">another</w:t>
      </w:r>
      <w:r>
        <w:t xml:space="preserve"> 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If a judge or magistrate transmits a warrant under Subsection (h-1) for the detention of a person who is physically located in a facility at the time the application is presented under Subsection (h), the facility may detain the person to perform a preliminary examination in accordance with Section 573.021.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emergency detention under Chapter 573, Health and Safety Code, that begins on or after the effective date of this Act. </w:t>
      </w:r>
      <w:r>
        <w:t xml:space="preserve"> </w:t>
      </w:r>
      <w:r>
        <w:t xml:space="preserve">An emergency detention under Chapter 573, Health and Safety Code,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