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of municipal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614.021(b),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614.024, this</w:t>
      </w:r>
      <w:r>
        <w:t xml:space="preserve"> [</w:t>
      </w:r>
      <w:r>
        <w:rPr>
          <w:strike/>
        </w:rPr>
        <w:t xml:space="preserve">This</w:t>
      </w:r>
      <w:r>
        <w:t xml:space="preserve">] subchapter does not apply to a peace officer or fire fighter appointed or employed by a political subdivision that is covered by a meet and confer or collective bargaining agreement under Chapter 143 or 174, Local Government Code, if that agreement includes provisions relating to the investigation of, and disciplinary action resulting from, a complaint against a peace officer or fire fighter,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614.023(a),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copy of a signed complaint against a law enforcement officer of this state or a fire fighter, detention officer, county jailer, or peace officer appointed or employed by a political subdivision of this state shall be given to the officer or employee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within a reasonable time after the complaint is filed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municipal fire fighter, in accordance with procedures applicable under Section 614.024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614, Government Code, is amended by adding Section 614.024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614.024.</w:t>
      </w:r>
      <w:r>
        <w:rPr>
          <w:u w:val="single"/>
        </w:rPr>
        <w:t xml:space="preserve"> </w:t>
      </w:r>
      <w:r>
        <w:rPr>
          <w:u w:val="single"/>
        </w:rPr>
        <w:t xml:space="preserve"> </w:t>
      </w:r>
      <w:r>
        <w:rPr>
          <w:u w:val="single"/>
        </w:rPr>
        <w:t xml:space="preserve">INVESTIGATION OF MUNICIPAL FIRE FIGHTERS REQUIRED IN CERTAIN MUNICIPALITIES.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fighter" means a paid employee of a municipal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"Investigation" means an administrative investigation conducted by a municipality of alleged misconduct by a fire fighter that could result in punitive action against the fire 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action" means a disciplinary suspension, indefinite suspension, demotion in rank, reprimand, or any combination of those actions.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municipality with a population of 10,000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614.021(b), this section applies to a fire fighter employed by a municipality regardless of whether the municipality is covered by a meet and confer or collective bargaining agreement under Chapter 143 or 174, Local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supersedes a conflicting provision in a meet and confer or collective bargaining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meet and confer or collective bargaining agreement under Chapter 143 or 174, Local Government Code, may impose requirements for investigations in addition to those provided in Section 143.123 or Sections 143.312(a)-(k), Local Government Code, that do not conflict with the requirements of those sections.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requirements of Section 614.023, a municipality may not take punitive action against a fire fighter unless an investigation has been conducted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143.123 or Sections 143.312(a)-(k), Local Government Code, or other applicable law, including the requirements adopted under Subsection (g),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requirements imposed by a meet and confer or collective bargaining agreement under Chapter 143 or 174, Local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municipality to which Section 143.123 or 143.312, Local Government Code, or another substantially similar investigation requirement does not apply shall adopt and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substantially identical to those required by Sections 143.312(a)-(k),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procedures or requirements imposed by a meet and confer or collective bargaining agreement under Chapter 143 or 174, Local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614.024, Government Code, as added by this Act, applies only to an investigation, as that term is defined by that section, initiated by a municipality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614.024(d), Government Code, as added by this Act, applies only to an agreement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