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tangible personal property held or used for the production of income by related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business entity"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a common business enterprise with at least one other business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tangible personal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held or used for the production of income as part of the common business enterprise;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at the same physical address that tangible personal property owned by at least one other business entity engaged in the common business enterprise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"Unified business enterprise" means a common business enterprise composed of more than one related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w:t>
      </w:r>
      <w:r>
        <w:t xml:space="preserve"> [</w:t>
      </w:r>
      <w:r>
        <w:rPr>
          <w:strike/>
        </w:rPr>
        <w:t xml:space="preserve">A</w:t>
      </w:r>
      <w:r>
        <w:t xml:space="preserve">]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exemption provided by Subsection </w:t>
      </w:r>
      <w:r>
        <w:rPr>
          <w:u w:val="single"/>
        </w:rPr>
        <w:t xml:space="preserve">(b)</w:t>
      </w:r>
      <w:r>
        <w:t xml:space="preserve"> [</w:t>
      </w:r>
      <w:r>
        <w:rPr>
          <w:strike/>
        </w:rPr>
        <w:t xml:space="preserve">(a)</w:t>
      </w:r>
      <w:r>
        <w:t xml:space="preserve">] applies to each separate taxing unit in which a person holds or uses tangible personal property for the production of income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w:t>
      </w:r>
      <w:r>
        <w:t xml:space="preserve">[</w:t>
      </w:r>
      <w:r>
        <w:rPr>
          <w:strike/>
        </w:rPr>
        <w:t xml:space="preserve">, and, for</w:t>
      </w:r>
      <w:r>
        <w:t xml:space="preserve">] the </w:t>
      </w:r>
      <w:r>
        <w:rPr>
          <w:u w:val="single"/>
        </w:rPr>
        <w:t xml:space="preserve">purpose</w:t>
      </w:r>
      <w:r>
        <w:t xml:space="preserve"> [</w:t>
      </w:r>
      <w:r>
        <w:rPr>
          <w:strike/>
        </w:rPr>
        <w:t xml:space="preserve">purposes</w:t>
      </w:r>
      <w:r>
        <w:t xml:space="preserve">] of Subsection </w:t>
      </w:r>
      <w:r>
        <w:rPr>
          <w:u w:val="single"/>
        </w:rPr>
        <w:t xml:space="preserve">(b)</w:t>
      </w:r>
      <w:r>
        <w:t xml:space="preserve"> [</w:t>
      </w:r>
      <w:r>
        <w:rPr>
          <w:strike/>
        </w:rPr>
        <w:t xml:space="preserve">(a)</w:t>
      </w:r>
      <w:r>
        <w:t xml:space="preserve">], all property </w:t>
      </w:r>
      <w:r>
        <w:rPr>
          <w:u w:val="single"/>
        </w:rPr>
        <w:t xml:space="preserve">described by that subsection</w:t>
      </w:r>
      <w:r>
        <w:t xml:space="preserve"> in </w:t>
      </w:r>
      <w:r>
        <w:rPr>
          <w:u w:val="single"/>
        </w:rPr>
        <w:t xml:space="preserve">a</w:t>
      </w:r>
      <w:r>
        <w:t xml:space="preserve"> [</w:t>
      </w:r>
      <w:r>
        <w:rPr>
          <w:strike/>
        </w:rPr>
        <w:t xml:space="preserve">each</w:t>
      </w:r>
      <w:r>
        <w:t xml:space="preserve">] taxing unit </w:t>
      </w:r>
      <w:r>
        <w:rPr>
          <w:u w:val="single"/>
        </w:rPr>
        <w:t xml:space="preserve">that is owned by a person</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aggregated to determine taxable value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 related business entity,  aggregated with the property described by that subsection in the taxing unit that is owned by each other related business enterprise that composes the same unified business enterprise to determine taxable value for the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chief appraiser may investigate a business entity to determine whether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related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aggregated tangible personal property as provided by Subsection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Tax Code, is amended by amending Subsections (a), (c-1), and (f) and adding Subsection (n)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24,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"Related business entity" and "unified business enterprise" have the meanings assigned by Section 11.145.</w:t>
      </w:r>
    </w:p>
    <w:p w:rsidR="003F3435" w:rsidRDefault="0032493E">
      <w:pPr>
        <w:spacing w:line="480" w:lineRule="auto"/>
        <w:ind w:firstLine="1440"/>
        <w:jc w:val="both"/>
      </w:pPr>
      <w:r>
        <w:rPr>
          <w:u w:val="single"/>
        </w:rPr>
        <w:t xml:space="preserve">(2)</w:t>
      </w:r>
      <w:r xml:space="preserve">
        <w:t> </w:t>
      </w:r>
      <w:r xml:space="preserve">
        <w:t> </w:t>
      </w:r>
      <w:r>
        <w:t xml:space="preserve">"Secured party" has the meaning assigned by Section 9.102, Business &amp; Commerce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"Security interest" has the meaning assigned by Section 1.201, Business &amp; Commerce Code.</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rendition statement of a related business entity must contain the information required by Subsection (a) or (f), as applicable, stated for each related business entity that composes the unified business enterprise of which the related business entity that is the subject of the rendition is a part.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22.24(c), Tax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  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22.01(l). </w:t>
      </w:r>
      <w:r>
        <w:rPr>
          <w:u w:val="single"/>
        </w:rPr>
        <w:t xml:space="preserve">Each form must include a box that a property owner that is a related business entity, as defined by Section 11.145, must check to identify the owner as a related business entity.</w:t>
      </w:r>
      <w:r>
        <w:t xml:space="preserve"> A form may not require but may permit a property owner to furnish information not specifically required by this chapter to be reported.  In addition, a form prescribed or approved under this subsection must contain the following statement in bold type: "If you make a false statement on this form, you could be found guilty of a Class A misdemeanor or a state jail felony under Section 37.10,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