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1442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campus of the Texas State Technical College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 </w:t>
      </w:r>
      <w:r>
        <w:t xml:space="preserve">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w:t>
      </w:r>
    </w:p>
    <w:p w:rsidR="003F3435" w:rsidRDefault="0032493E">
      <w:pPr>
        <w:spacing w:line="480" w:lineRule="auto"/>
        <w:jc w:val="both"/>
      </w:pPr>
      <w:r>
        <w:t xml:space="preserve">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Breckinridge in Stephens County;</w:t>
      </w:r>
    </w:p>
    <w:p w:rsidR="003F3435" w:rsidRDefault="0032493E">
      <w:pPr>
        <w:spacing w:line="480" w:lineRule="auto"/>
        <w:ind w:firstLine="1440"/>
        <w:jc w:val="both"/>
      </w:pPr>
      <w:r>
        <w:t xml:space="preserve">(4)</w:t>
      </w:r>
      <w:r xml:space="preserve">
        <w:t> </w:t>
      </w:r>
      <w:r xml:space="preserve">
        <w:t> </w:t>
      </w:r>
      <w:r>
        <w:t xml:space="preserve">a campus located in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ind w:start="1440"/>
        <w:jc w:val="both"/>
      </w:pPr>
      <w:r>
        <w:t xml:space="preserve">(7)</w:t>
      </w:r>
      <w:r xml:space="preserve">
        <w:t> </w:t>
      </w:r>
      <w:r xml:space="preserve">
        <w:t> </w:t>
      </w:r>
      <w:r>
        <w:t xml:space="preserve">a campus located in the city of Red Oak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located in Denton County; and</w:t>
      </w:r>
    </w:p>
    <w:p w:rsidR="003F3435" w:rsidRDefault="0032493E">
      <w:pPr>
        <w:spacing w:line="480" w:lineRule="auto"/>
        <w:ind w:firstLine="1440"/>
        <w:jc w:val="both"/>
      </w:pPr>
      <w:r>
        <w:rPr>
          <w:u w:val="single"/>
        </w:rPr>
        <w:t xml:space="preserve">(9)</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