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88R9077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2035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1701.163, Occupations Code, is amended to read as follows:</w:t>
      </w:r>
    </w:p>
    <w:p w:rsidR="003F3435" w:rsidRDefault="0032493E">
      <w:pPr>
        <w:spacing w:line="480" w:lineRule="auto"/>
        <w:ind w:firstLine="720"/>
        <w:jc w:val="both"/>
      </w:pPr>
      <w:r>
        <w:t xml:space="preserve">Sec.</w:t>
      </w:r>
      <w:r xml:space="preserve">
        <w:t> </w:t>
      </w:r>
      <w:r>
        <w:t xml:space="preserve">1701.163.</w:t>
      </w:r>
      <w:r xml:space="preserve">
        <w:t> </w:t>
      </w:r>
      <w:r xml:space="preserve">
        <w:t> </w:t>
      </w:r>
      <w:r>
        <w:rPr>
          <w:u w:val="single"/>
        </w:rPr>
        <w:t xml:space="preserve">MINIMUM STANDARDS FOR LAW ENFORCEMENT AGENCIES</w:t>
      </w:r>
      <w:r>
        <w:t xml:space="preserve"> [</w:t>
      </w:r>
      <w:r>
        <w:rPr>
          <w:strike/>
        </w:rPr>
        <w:t xml:space="preserve">INFORMATION PROVIDED BY COMMISSIONING ENTITIES</w:t>
      </w:r>
      <w:r>
        <w:t xml:space="preserve">].  [</w:t>
      </w:r>
      <w:r>
        <w:rPr>
          <w:strike/>
        </w:rPr>
        <w:t xml:space="preserve">(a)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strike/>
        </w:rPr>
        <w:t xml:space="preserve">entity shall submit to the</w:t>
      </w:r>
      <w:r>
        <w:t xml:space="preserve">] commission</w:t>
      </w:r>
      <w:r>
        <w:rPr>
          <w:u w:val="single"/>
        </w:rPr>
        <w:t xml:space="preserve">, with input from an advisory committee, shall by rule establish minimum standards with respect to the creation or operation of a law enforcement agency, including</w:t>
      </w:r>
      <w:r>
        <w:t xml:space="preserve"> [</w:t>
      </w:r>
      <w:r>
        <w:rPr>
          <w:strike/>
        </w:rPr>
        <w:t xml:space="preserve">on creation of the law enforcement agency or police department information regarding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 determination regarding</w:t>
      </w:r>
      <w:r>
        <w:t xml:space="preserve"> the need for </w:t>
      </w:r>
      <w:r>
        <w:rPr>
          <w:u w:val="single"/>
        </w:rPr>
        <w:t xml:space="preserve">creating</w:t>
      </w:r>
      <w:r>
        <w:t xml:space="preserve"> the [</w:t>
      </w:r>
      <w:r>
        <w:rPr>
          <w:strike/>
        </w:rPr>
        <w:t xml:space="preserve">law enforcement</w:t>
      </w:r>
      <w:r>
        <w:t xml:space="preserve">] agency [</w:t>
      </w:r>
      <w:r>
        <w:rPr>
          <w:strike/>
        </w:rPr>
        <w:t xml:space="preserve">or police department</w:t>
      </w:r>
      <w:r>
        <w:t xml:space="preserve">] in the community;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sustainable</w:t>
      </w:r>
      <w:r>
        <w:t xml:space="preserve"> funding sources for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(3)</w:t>
      </w:r>
      <w:r xml:space="preserve">
        <w:t> </w:t>
      </w:r>
      <w:r xml:space="preserve">
        <w:t> </w:t>
      </w:r>
      <w:r>
        <w:t xml:space="preserve">the physical resources available to officers</w:t>
      </w:r>
      <w:r>
        <w:rPr>
          <w:u w:val="single"/>
        </w:rPr>
        <w:t xml:space="preserve">, which may differ based on the size of the law enforcement agency,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duty firearms, including patrol rifles and shotguns;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lethal force weapons, including a requirement of at least one per officer on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 communications equipment;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protective equipment, including a requirement of at least one protective vest per officer on duty;</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officer uniforms;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patrol vehicles and associated equipment</w:t>
      </w:r>
      <w:r>
        <w:t xml:space="preserve">;</w:t>
      </w:r>
    </w:p>
    <w:p w:rsidR="003F3435" w:rsidRDefault="0032493E">
      <w:pPr>
        <w:spacing w:line="480" w:lineRule="auto"/>
        <w:ind w:firstLine="1440"/>
        <w:jc w:val="both"/>
      </w:pPr>
      <w:r>
        <w:t xml:space="preserve">(4)</w:t>
      </w:r>
      <w:r xml:space="preserve">
        <w:t> </w:t>
      </w:r>
      <w:r xml:space="preserve">
        <w:t> </w:t>
      </w:r>
      <w:r>
        <w:t xml:space="preserve">the physical facilities </w:t>
      </w:r>
      <w:r>
        <w:rPr>
          <w:u w:val="single"/>
        </w:rPr>
        <w:t xml:space="preserve">of</w:t>
      </w:r>
      <w:r>
        <w:t xml:space="preserve"> [</w:t>
      </w:r>
      <w:r>
        <w:rPr>
          <w:strike/>
        </w:rPr>
        <w:t xml:space="preserve">that</w:t>
      </w:r>
      <w:r>
        <w:t xml:space="preserve">] the [</w:t>
      </w:r>
      <w:r>
        <w:rPr>
          <w:strike/>
        </w:rPr>
        <w:t xml:space="preserve">law enforcement</w:t>
      </w:r>
      <w:r>
        <w:t xml:space="preserve">] agency [</w:t>
      </w:r>
      <w:r>
        <w:rPr>
          <w:strike/>
        </w:rPr>
        <w:t xml:space="preserve">or police department will operate</w:t>
      </w:r>
      <w:r>
        <w:t xml:space="preserve">], including </w:t>
      </w:r>
      <w:r>
        <w:rPr>
          <w:u w:val="single"/>
        </w:rPr>
        <w:t xml:space="preserve">any</w:t>
      </w:r>
      <w:r>
        <w:t xml:space="preserve"> [</w:t>
      </w:r>
      <w:r>
        <w:rPr>
          <w:strike/>
        </w:rPr>
        <w:t xml:space="preserve">descriptions of the</w:t>
      </w:r>
      <w:r>
        <w:t xml:space="preserve">] evidence room, dispatch area, </w:t>
      </w:r>
      <w:r>
        <w:rPr>
          <w:u w:val="single"/>
        </w:rPr>
        <w:t xml:space="preserve">or</w:t>
      </w:r>
      <w:r>
        <w:t xml:space="preserve"> [</w:t>
      </w:r>
      <w:r>
        <w:rPr>
          <w:strike/>
        </w:rPr>
        <w:t xml:space="preserve">and</w:t>
      </w:r>
      <w:r>
        <w:t xml:space="preserve">] public area;</w:t>
      </w:r>
    </w:p>
    <w:p w:rsidR="003F3435" w:rsidRDefault="0032493E">
      <w:pPr>
        <w:spacing w:line="480" w:lineRule="auto"/>
        <w:ind w:firstLine="1440"/>
        <w:jc w:val="both"/>
      </w:pPr>
      <w:r>
        <w:t xml:space="preserve">(5)</w:t>
      </w:r>
      <w:r xml:space="preserve">
        <w:t> </w:t>
      </w:r>
      <w:r xml:space="preserve">
        <w:t> </w:t>
      </w:r>
      <w:r>
        <w:rPr>
          <w:u w:val="single"/>
        </w:rPr>
        <w:t xml:space="preserve">the</w:t>
      </w:r>
      <w:r>
        <w:t xml:space="preserve"> [</w:t>
      </w:r>
      <w:r>
        <w:rPr>
          <w:strike/>
        </w:rPr>
        <w:t xml:space="preserve">law enforcement</w:t>
      </w:r>
      <w:r>
        <w:t xml:space="preserve">] policies of the [</w:t>
      </w:r>
      <w:r>
        <w:rPr>
          <w:strike/>
        </w:rPr>
        <w:t xml:space="preserve">law enforcement</w:t>
      </w:r>
      <w:r>
        <w:t xml:space="preserve">] agency [</w:t>
      </w:r>
      <w:r>
        <w:rPr>
          <w:strike/>
        </w:rPr>
        <w:t xml:space="preserve">or police department</w:t>
      </w:r>
      <w:r>
        <w:t xml:space="preserve">],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impartial policing</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active shooters;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barricaded subjects</w:t>
      </w:r>
      <w:r>
        <w:t xml:space="preserve">;</w:t>
      </w:r>
    </w:p>
    <w:p w:rsidR="003F3435" w:rsidRDefault="0032493E">
      <w:pPr>
        <w:spacing w:line="480" w:lineRule="auto"/>
        <w:ind w:firstLine="1440"/>
        <w:jc w:val="both"/>
      </w:pPr>
      <w:r>
        <w:t xml:space="preserve">(6)</w:t>
      </w:r>
      <w:r xml:space="preserve">
        <w:t> </w:t>
      </w:r>
      <w:r xml:space="preserve">
        <w:t> </w:t>
      </w:r>
      <w:r>
        <w:t xml:space="preserve">the administrative structure of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w:t>
      </w:r>
      <w:r>
        <w:rPr>
          <w:u w:val="single"/>
        </w:rPr>
        <w:t xml:space="preserve">standard</w:t>
      </w:r>
      <w:r>
        <w:t xml:space="preserve"> </w:t>
      </w:r>
      <w:r>
        <w:t xml:space="preserve">[</w:t>
      </w:r>
      <w:r>
        <w:rPr>
          <w:strike/>
        </w:rPr>
        <w:t xml:space="preserve">information</w:t>
      </w:r>
      <w:r>
        <w:t xml:space="preserve">] the commission </w:t>
      </w:r>
      <w:r>
        <w:rPr>
          <w:u w:val="single"/>
        </w:rPr>
        <w:t xml:space="preserve">considers necessary</w:t>
      </w:r>
      <w:r>
        <w:t xml:space="preserve"> </w:t>
      </w:r>
      <w:r>
        <w:t xml:space="preserve">[</w:t>
      </w:r>
      <w:r>
        <w:rPr>
          <w:strike/>
        </w:rPr>
        <w:t xml:space="preserve">requires by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1701, Occupations Code, is amended by adding Sections 1701.165, 1701.166, 1701.167, 1701.168, and 1701.169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committee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compel by subpoena the production for inspection or copying of a record described by Section 1701.162(a) that is relevant to the investigation of an alleged violation of this chapter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EXAMINATION OF LICENSE HOLDER. </w:t>
      </w:r>
      <w:r>
        <w:rPr>
          <w:u w:val="single"/>
        </w:rPr>
        <w:t xml:space="preserve"> </w:t>
      </w:r>
      <w:r>
        <w:rPr>
          <w:u w:val="single"/>
        </w:rPr>
        <w:t xml:space="preserve">(a)  The commission shall adopt rules specifying the circumstances under which the commission may request that a license holder submit to an examination described by Section 1701.306(a) by a psychologist, psychiatrist, or physician selected by the commission to determine whether the license holder continues to meet the standards required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license holder refuses to submit to the examination, the commission shall issue an order requiring the person to show cause for the person's refusal at a hearing on the order scheduled for not later than the 30th day after the date notice is served on the person.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person may appear in person and by counsel and present evidence to justify the person's refusal to submit to examination.  After the hearing, the commission shall issue an order requiring the person to submit to an examination under this section or withdrawing the request for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request is withdrawn, the commission may suspend the license of a person who refuses to submit to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results of an examination under this section show that the person does not meet the standards of Section 1701.306(a), the commission shall suspend the person's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Section 1701.306(a), are confidential and not subject to disclosure under Chapter 552,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1701.168.</w:t>
      </w:r>
      <w:r>
        <w:rPr>
          <w:u w:val="single"/>
        </w:rPr>
        <w:t xml:space="preserve"> </w:t>
      </w:r>
      <w:r>
        <w:rPr>
          <w:u w:val="single"/>
        </w:rPr>
        <w:t xml:space="preserve"> </w:t>
      </w:r>
      <w:r>
        <w:rPr>
          <w:u w:val="single"/>
        </w:rPr>
        <w:t xml:space="preserve">REFUSAL OR FAILURE OF EXAMINATION.  (a) Except as provided by Subsection (b), a law enforcement agency shall report to the commission a license holder who refuses to submit to or fails an examination ordered under Section 1701.167.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is not required to report a failed examination under Subsection (a) if the license holder submits to and successfully completes a treatment program within a reasonable time, as prescribed by commission rule. A law enforcement agency may assign a license holder who submits to a treatment program under this subsection to a non-law enforcement role for the duration of the treatment program and until the license holder passes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1701.169.</w:t>
      </w:r>
      <w:r>
        <w:rPr>
          <w:u w:val="single"/>
        </w:rPr>
        <w:t xml:space="preserve"> </w:t>
      </w:r>
      <w:r>
        <w:rPr>
          <w:u w:val="single"/>
        </w:rPr>
        <w:t xml:space="preserve"> </w:t>
      </w:r>
      <w:r>
        <w:rPr>
          <w:u w:val="single"/>
        </w:rPr>
        <w:t xml:space="preserve">PREEMPLOYMENT DATABASE.  The commission shall designate one or more national law enforcement databases that a law enforcement agency must access to complete the preemployment background check required under Sections 1701.303(a) and 1701.451(a). A database designated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records related to a person's previous law enforcement employment or experience, including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commendations or awards;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misconduct or disciplinary records;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certifications or licenses held;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maintained by the federal government or a nationally recognized law enforcement accreditation association;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process for a person to contest or amend any information maintained in the database relating to the person.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1701.203(c),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1701, Occupations Code, is amended by adding Section 1701.205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1701.205.</w:t>
      </w:r>
      <w:r>
        <w:rPr>
          <w:u w:val="single"/>
        </w:rPr>
        <w:t xml:space="preserve"> </w:t>
      </w:r>
      <w:r>
        <w:rPr>
          <w:u w:val="single"/>
        </w:rPr>
        <w:t xml:space="preserve"> </w:t>
      </w:r>
      <w:r>
        <w:rPr>
          <w:u w:val="single"/>
        </w:rPr>
        <w:t xml:space="preserve">OFFICER PROFILES.  (a) The commission shall create a public database containing profiles of each officer licensed under this chapter. </w:t>
      </w:r>
      <w:r>
        <w:rPr>
          <w:u w:val="single"/>
        </w:rPr>
        <w:t xml:space="preserve"> </w:t>
      </w:r>
      <w:r>
        <w:rPr>
          <w:u w:val="single"/>
        </w:rPr>
        <w:t xml:space="preserve">A profile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information required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compiled in a format that makes the information contained in the profile readily available to the public.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profile must contain the following information with respect to each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officer completed the basic training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officer is in compliance with continuing education requirements and the continuing education courses completed;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hours of training the officer has completed;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officer's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exclude from the database profiles for certain officers if including the profile would create a safety risk for the officer based on the officer's position or duties, including the profiles of undercover officers and officers involved in active narcotics operations.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1701.253, Occupations Code, is amended by adding Subsection (a-1) and amending Subsections (g), (h), (i), (j), (l), (m), (o), and (p)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59, Code of Criminal Procedure,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32.51, Penal Code,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  [</w:t>
      </w:r>
      <w:r>
        <w:rPr>
          <w:strike/>
        </w:rPr>
        <w:t xml:space="preserve">An officer shall complete the program not later than the second anniversary of the date the officer is licensed under this chapter or the date the officer applies for an intermediate proficiency certificate, whichever date is earlier.</w:t>
      </w:r>
      <w:r>
        <w:t xml:space="preserve">]  An officer may not satisfy the requirements of this subsection or Section 1701.402(g)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1701.261.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81.001, Human Resources Code, including identifying specialty license plates issued to individuals who are deaf or hard of hearing under Section 504.204, Transportation Code.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1701.268.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1701.258(a).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1701.303(a),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 a</w:t>
      </w:r>
      <w:r>
        <w:t xml:space="preserve"> [</w:t>
      </w:r>
      <w:r>
        <w:rPr>
          <w:strike/>
        </w:rPr>
        <w:t xml:space="preserve">A</w:t>
      </w:r>
      <w:r>
        <w:t xml:space="preserve">] law enforcement agency or governmental entity [</w:t>
      </w:r>
      <w:r>
        <w:rPr>
          <w:strike/>
        </w:rPr>
        <w:t xml:space="preserve">that</w:t>
      </w:r>
      <w:r>
        <w:t xml:space="preserve">] hires a person for whom a license is sought</w:t>
      </w:r>
      <w:r>
        <w:rPr>
          <w:u w:val="single"/>
        </w:rPr>
        <w:t xml:space="preserve">, the law enforcement agency</w:t>
      </w:r>
      <w:r>
        <w:t xml:space="preserve">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information relating to the person available in a database designated by the commission under Section 1701.169;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1701.251(a);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601.051,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w:t>
      </w:r>
      <w:r>
        <w:rPr>
          <w:u w:val="single"/>
        </w:rPr>
        <w:t xml:space="preserve">; and</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information on the person's law enforcement background as available through a database designated by the commission under Section 1701.169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w:t>
      </w:r>
      <w:r>
        <w:rPr>
          <w:strike/>
        </w:rPr>
        <w:t xml:space="preserve">AND STATEMENTS</w:t>
      </w:r>
      <w:r>
        <w:t xml:space="preserve">]. </w:t>
      </w:r>
      <w:r>
        <w:t xml:space="preserve"> </w:t>
      </w:r>
      <w:r>
        <w:t xml:space="preserve">The commission shall maintain a copy of each report [</w:t>
      </w:r>
      <w:r>
        <w:rPr>
          <w:strike/>
        </w:rPr>
        <w:t xml:space="preserve">and statement</w:t>
      </w:r>
      <w:r>
        <w:t xml:space="preserve">] submitted to the commission under this subchapter until at least the 10th anniversary of the date on which the report [</w:t>
      </w:r>
      <w:r>
        <w:rPr>
          <w:strike/>
        </w:rPr>
        <w:t xml:space="preserve">or statement</w:t>
      </w:r>
      <w:r>
        <w:t xml:space="preserve">] is submitted.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1701.456(a),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not liable for civil damages for providing information contained in a report [</w:t>
      </w:r>
      <w:r>
        <w:rPr>
          <w:strike/>
        </w:rPr>
        <w:t xml:space="preserve">or statement</w:t>
      </w:r>
      <w:r>
        <w:t xml:space="preserve">] maintained by the commission under this subchapter if the commission released the information as provided by this subchapter.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w:t>
      </w:r>
      <w:r>
        <w:rPr>
          <w:u w:val="single"/>
        </w:rPr>
        <w:t xml:space="preserve"> </w:t>
      </w:r>
      <w:r>
        <w:rPr>
          <w:u w:val="single"/>
        </w:rPr>
        <w:t xml:space="preserve">(a)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not later than the 10th day after the date the order was issued, set the time and place for a hearing on the order. </w:t>
      </w:r>
      <w:r>
        <w:rPr>
          <w:u w:val="single"/>
        </w:rPr>
        <w:t xml:space="preserve"> </w:t>
      </w:r>
      <w:r>
        <w:rPr>
          <w:u w:val="single"/>
        </w:rPr>
        <w:t xml:space="preserve">The hearing must be conducted as soon as practicable.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1701.452(b) and (c);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1701.4525.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Not later than March 1, 2024,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update forms as necessary to implement the changes in law made by this Act to Chapter 1701, Occupations Code; and</w:t>
      </w:r>
    </w:p>
    <w:p w:rsidR="003F3435" w:rsidRDefault="0032493E">
      <w:pPr>
        <w:spacing w:line="480" w:lineRule="auto"/>
        <w:ind w:firstLine="1440"/>
        <w:jc w:val="both"/>
      </w:pPr>
      <w:r>
        <w:t xml:space="preserve">(2)</w:t>
      </w:r>
      <w:r xml:space="preserve">
        <w:t> </w:t>
      </w:r>
      <w:r xml:space="preserve">
        <w:t> </w:t>
      </w:r>
      <w:r>
        <w:t xml:space="preserve">designate the database as required by Section 1701.169,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Commission on Law Enforcement shall establish the database containing officer profiles as required by Section 1701.205, Occupations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1701.303(a) and 1701.451(a), Occupations Code, as amended by this Act, apply only with respect to a person hired on or after March 1, 2024. </w:t>
      </w:r>
      <w:r>
        <w:t xml:space="preserve"> </w:t>
      </w:r>
      <w:r>
        <w:t xml:space="preserve">A person hired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Subchapter J, Chapter 1701, Occupations Code, apply only to a report required to be submitted under Section 1701.452, Occupations Code, as amended by this Act, regarding a separation of a license holder that occurs on or after March 1, 2024. </w:t>
      </w:r>
      <w:r>
        <w:t xml:space="preserve"> </w:t>
      </w:r>
      <w:r>
        <w:t xml:space="preserve">A separation that occurs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