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online global marketplaces.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121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121. </w:t>
      </w:r>
      <w:r>
        <w:rPr>
          <w:u w:val="single"/>
        </w:rPr>
        <w:t xml:space="preserve"> </w:t>
      </w:r>
      <w:r>
        <w:rPr>
          <w:u w:val="single"/>
        </w:rPr>
        <w:t xml:space="preserve">ONLINE GLOBAL MARKETPLACES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chapter, "online global marketplace" means a person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for consideration, including consideration deducted as a fee from the transaction, an online application, software, an Internet website, a system, or another medium through which a good or service in this state is advertised or offered to the public as available;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regulated by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directly or indirectly provides or maintains an Internet platform for goods or services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payment system that facilitates a transaction between two platform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transmitting or otherwise communicating the offer or acceptance of a transaction between two platform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owning or operating the electronic or physical infrastructure or technology that brings two or more platform users together;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virtual currency, as defined by Section 12.001, that platform users are allowed or required to use to transact;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software development or research and development activities related to any of the activities described by this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ONLINE GLOBAL MARKETPLACE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"online global marketplace" has the meaning assigned by Section 121.001,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 </w:t>
      </w:r>
      <w:r>
        <w:rPr>
          <w:u w:val="single"/>
        </w:rPr>
        <w:t xml:space="preserve"> </w:t>
      </w:r>
      <w:r>
        <w:rPr>
          <w:u w:val="single"/>
        </w:rPr>
        <w:t xml:space="preserve">A county or municipality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regulate the operation of an online global marketplace;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online global marketplace to provide personally identifiable information of its Internet platform users without an administrative subpoena or court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