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88R8789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a nonprofit organization or political subdivision to establish or expand a behavioral health crisis response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531.09916.</w:t>
      </w:r>
      <w:r>
        <w:rPr>
          <w:u w:val="single"/>
        </w:rPr>
        <w:t xml:space="preserve"> </w:t>
      </w:r>
      <w:r>
        <w:rPr>
          <w:u w:val="single"/>
        </w:rPr>
        <w:t xml:space="preserve"> </w:t>
      </w:r>
      <w:r>
        <w:rPr>
          <w:u w:val="single"/>
        </w:rPr>
        <w:t xml:space="preserve">GRANT PROGRAM FOR BEHAVIORAL HEALTH CRISIS RESPONSE PROGRAMS.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"Behavioral health crisis response program" means a program operated under a grant awarded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"Multidisciplinary response team" means a group composed of three or more persons that includes at least one paramedic, one law enforcement officer, and one behavioral health professional, who together provide services to persons experiencing a behavioral health crisis.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"Nonprofit organization" means an organization that is exempt from federal income taxation under Section 501(a), Internal Revenue Code of 1986, by being listed as an exempt entity under Section 501(c)(3) of that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county or municipality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establish and administer a grant program to award money to nonprofit organizations and political subdivisions for the purpose of establishing or expanding a behavioral health crisis response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one or more multidisciplinary response teams in the region in which the nonprofit organization is located or within the political subdivision,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 one or more behavioral health professionals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 in screening telephone calls made to a 9-1-1 emergency call center dispatcher for law enforcement or emergency medical assistance;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in determining whether to dispatch a multidisciplinary response team to service a call;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consultation and information to the dispatched multidisciplinary response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behavioral health crisis response program that is awarded a grant under this section must operate in accordance with best practices for jail diversion and managing behavioral health crises.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nonprofit organization that is awarded a grant under this section must collaborate with one or more political subdivisions to operate the behavioral health crisis response program.  A county that is awarded a grant under this section must collaborate with one or more municipalities in the county to operate the behavioral health crisis response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application from a nonprofit organization or political subdivision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on a form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if the applicant is required to collaborate with a political subdivision under Subsection (d), a statement from the governing body of the political subdivision providing information about the collaboration;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if the applicant is required to collaborate with a political subdivision under Subsection (d), data from each collaborating political subdivision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behavioral health-related telephone calls for assistance received by the political subdivision's 9-1-1 emergency call center;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paramedics and behavioral health professionals available to serve on a political subdivision's multidisciplinary response team;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political subdivision's capacity to accurately collect and report information concerning: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frequency and outcomes of behavioral health-related calls for assistance;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number of telephone calls for assistance primarily identified as involving a criminal offense that also involved a demonstrated need for behavioral health intervention services, crisis care referrals to community-based providers, or de-escalation for the person making the call or for a person who was the subject of a call made by another.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funding received under a grant under this section, a nonprofit organization or political subdivision grant applicant, or a political subdivision collaborating with a grant applicant under Subsection (d), may contribute local funds to the operation of the behavioral health crisis response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use any available state and federal money and may accept gifts, grants, and donations from any source for the purpose of awarding grants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shall adopt all rules necessary for the establishment and governance of the grant program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531.09916,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