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retail seller of motor vehicles from imposing certain restrictions on the purchase of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348, Finance Code, is amended by adding Section 348.415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348.415.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RESTRICTIONS ON MOTOR VEHICLE PURCHASES FUNDED OR FINANCED USING PROSPECTIVE BUYER'S OWN MONEY OR THIRD-PARTY FINANCING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retail seller may not increase the sale price of a motor vehicle for a prospective buyer who purchases a motor vehicle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 who is neither the retail seller nor affiliated with the retail seller.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prohibit a prospective buyer from paying the sale price at the time of sale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prospective buyer's own money;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loan from a third-party lender who is neither the retail seller nor affiliated with the retail seller.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may not make a false or misleading representation that is inconsistent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agreement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