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1464</w:t>
      </w:r>
    </w:p>
    <w:p w:rsidR="003F3435" w:rsidRDefault="0032493E">
      <w:pPr>
        <w:ind w:firstLine="720"/>
        <w:jc w:val="both"/>
      </w:pPr>
      <w:r>
        <w:t xml:space="preserve">(Goldman)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retail seller of motor vehicles from imposing certain restrictions on the purchase of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348, Finance Code, is amended by adding Section 348.415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348.415.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RESTRICTIONS ON MOTOR VEHICLE PURCHASES FUNDED OR FINANCED USING PROSPECTIVE BUYER'S OWN MONEY OR THIRD-PARTY FINANCING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retail seller may not increase the sale price of a motor vehicle for a prospective buyer who purchases a motor vehicle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 who is neither the retail seller nor affiliated with the retail seller.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prohibit a prospective buyer from paying the sale price at the time of sale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 who is neither the retail seller nor affiliated with the retail seller.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make a false or misleading representation that is inconsistent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agreement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