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1;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a retail seller of motor vehicles from imposing certain restrictions on the purchase of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348, Finance Code, is amended by adding Section 348.415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348.415.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RESTRICTIONS ON CASH PURCHASES OR THIRD-PARTY FINANCING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retail seller may not increase the cash price of a motor vehicle for a buyer who purchases a motor vehicle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prohibit a prospective buyer from paying the cash price at the time of sale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make a false or misleading representation that is inconsistent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agreement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