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medical information by electronic means.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159.006(d),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 physician shall provide the information requested under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later than the 15th business day after the date of receipt of the written consent for release under Subsection (a) or the written request under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accordance with Section 159.0065(b), if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159, Occupations Code, is amended by adding Section 159.0065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159.0065.</w:t>
      </w:r>
      <w:r>
        <w:rPr>
          <w:u w:val="single"/>
        </w:rPr>
        <w:t xml:space="preserve"> </w:t>
      </w:r>
      <w:r>
        <w:rPr>
          <w:u w:val="single"/>
        </w:rPr>
        <w:t xml:space="preserve"> </w:t>
      </w:r>
      <w:r>
        <w:rPr>
          <w:u w:val="single"/>
        </w:rPr>
        <w:t xml:space="preserve">SENSITIVE TEST RESULTS DISCLOSED BY ELECTRONIC MEANS.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health record" has the meaning assigned by Section 531.901,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means" means publishing information on a secure electronic network or Internet website, including a secure online patient portal or health software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accessible by an electronic device, including a computer, mobile device, or tablet;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which the patient or patient representative has consented to receive the patient's billing or medical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representative" means a person described by Sections 159.005(a)(2)-(4).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test result" means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pathology report or radiology report that has a reasonable likelihood of showing a finding of malignancy;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result that may reveal a genetic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Sensitive test results may not be disclosed to a patient or patient representative by electronic means before the third day after the date the sensitive test results are finalized.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administers or controls the electronic health record of a patient is responsible for implementing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subject to civil, criminal, or administrative liability or professional disciplinary action for failure to comply with Section 159.006(d)(2) 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159.0065, Occupations Code, as added by this Act, applies only to the disclosure of test results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159.006, Occupations Code, as amended by this Act, applies to a request for information under that section made on or after the effective date of this Act. A request made before the effective date of this Act is governed by the law in effect on the date the request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