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1467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disclosure of certain medical information by electronic means.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159.006(d), Occupations Code, is amended to read as follows:</w:t>
      </w:r>
    </w:p>
    <w:p w:rsidR="003F3435" w:rsidRDefault="0032493E">
      <w:pPr>
        <w:spacing w:line="480" w:lineRule="auto"/>
        <w:ind w:firstLine="720"/>
        <w:jc w:val="both"/>
      </w:pPr>
      <w:r>
        <w:t xml:space="preserve">(d)</w:t>
      </w:r>
      <w:r xml:space="preserve">
        <w:t> </w:t>
      </w:r>
      <w:r xml:space="preserve">
        <w:t> </w:t>
      </w:r>
      <w:r>
        <w:t xml:space="preserve">A physician shall provide the information requested under this section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not later than the 15th business day after the date of receipt of the written consent for release under Subsection (a) or the written request under Subsection (c)</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accordance with Section 159.0065(b), if applicable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159, Occupations Code, is amended by adding Section 159.0065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159.0065.</w:t>
      </w:r>
      <w:r>
        <w:rPr>
          <w:u w:val="single"/>
        </w:rPr>
        <w:t xml:space="preserve"> </w:t>
      </w:r>
      <w:r>
        <w:rPr>
          <w:u w:val="single"/>
        </w:rPr>
        <w:t xml:space="preserve"> </w:t>
      </w:r>
      <w:r>
        <w:rPr>
          <w:u w:val="single"/>
        </w:rPr>
        <w:t xml:space="preserve">SENSITIVE TEST RESULTS DISCLOSED BY ELECTRONIC MEANS.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"Electronic health record" has the meaning assigned by Section 531.901,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"Electronic means" means publishing information on a secure electronic network or Internet website, including a secure online patient portal or health software application: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is accessible by an electronic device, including a computer, mobile device, or tablet;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through which the patient or patient representative has consented to receive the patient's billing or medical records.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"Patient representative" means a person described by Sections 159.005(a)(2)-(4).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"Sensitive test result" means 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pathology report or radiology report that has a reasonable likelihood of showing a finding of malignancy;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test result that may reveal a genetic marker.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Sensitive test results may not be disclosed to a patient or patient representative by electronic means before the third day after the date the sensitive test results are finalized.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administers or controls the electronic health record of a patient is responsible for implementing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is not subject to civil, criminal, or administrative liability or professional disciplinary action for failure to comply with Section 159.006(d)(2) or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159.0065, Occupations Code, as added by this Act, applies only to the disclosure of test results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159.006, Occupations Code, as amended by this Act, applies to a request for information under that section made on or after the effective date of this Act. A request made before the effective date of this Act is governed by the law in effect on the date the request was made,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1467 passed the Senate on April</w:t>
      </w:r>
      <w:r xml:space="preserve">
        <w:t> </w:t>
      </w:r>
      <w:r>
        <w:t xml:space="preserve">24,</w:t>
      </w:r>
      <w:r xml:space="preserve">
        <w:t> </w:t>
      </w:r>
      <w:r>
        <w:t xml:space="preserve">2023, by the following vote:  Yeas</w:t>
      </w:r>
      <w:r xml:space="preserve">
        <w:t> </w:t>
      </w:r>
      <w:r>
        <w:t xml:space="preserve">30, Nays</w:t>
      </w:r>
      <w:r xml:space="preserve">
        <w:t> </w:t>
      </w:r>
      <w:r>
        <w:t xml:space="preserve">0; and that the Senate concurred in House amendment on May</w:t>
      </w:r>
      <w:r xml:space="preserve">
        <w:t> </w:t>
      </w:r>
      <w:r>
        <w:t xml:space="preserve">25,</w:t>
      </w:r>
      <w:r xml:space="preserve">
        <w:t> </w:t>
      </w:r>
      <w:r>
        <w:t xml:space="preserve">2023,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1467 passed the House, with amendment, on May</w:t>
      </w:r>
      <w:r xml:space="preserve">
        <w:t> </w:t>
      </w:r>
      <w:r>
        <w:t xml:space="preserve">19,</w:t>
      </w:r>
      <w:r xml:space="preserve">
        <w:t> </w:t>
      </w:r>
      <w:r>
        <w:t xml:space="preserve">2023, by the following vote:  Yeas</w:t>
      </w:r>
      <w:r xml:space="preserve">
        <w:t> </w:t>
      </w:r>
      <w:r>
        <w:t xml:space="preserve">131, Nays</w:t>
      </w:r>
      <w:r xml:space="preserve">
        <w:t> </w:t>
      </w:r>
      <w:r>
        <w:t xml:space="preserve">12, two</w:t>
      </w:r>
      <w:r xml:space="preserve">
        <w:t> </w:t>
      </w:r>
      <w:r>
        <w:t xml:space="preserve">present</w:t>
      </w:r>
      <w:r xml:space="preserve">
        <w:t> </w:t>
      </w:r>
      <w:r>
        <w:t xml:space="preserve">not</w:t>
      </w:r>
      <w:r xml:space="preserve">
        <w:t> </w:t>
      </w:r>
      <w:r>
        <w:t xml:space="preserve">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