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1467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disclosure of certain medical information by electronic means.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159.006, Occupations Code, is amended by amending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physician shall provide the information requested under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not later than the 15th business day after the date of receipt of the written consent for release under Subsection (a) or the written request under Subsection (c)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accordance with Section 159.0065(b), if applicable.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159, Occupations Code, is amended by adding Section 159.0065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159.0065.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SENSITIVE TEST RESULTS FURNISHED BY ELECTRONIC MEANS.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"Electronic means" means a posting on a secure  electronic network or Internet website, including a secure online  patient portal or health software application,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accessible by an electronic device,  including a computer, mobile device, or tablet;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which the patient or patient representative has consented to receive the patient's billing or medical records.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"Patient representative" means a person listed in Subdivisions (1) through (4) of Section 159.005.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"Sensitive test results" means: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pathology reports or radiology reports that  have a reasonable likelihood of showing a finding of malignancy;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test results that could reveal genetic markers.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 </w:t>
      </w:r>
      <w:r>
        <w:rPr>
          <w:u w:val="single"/>
        </w:rPr>
        <w:t xml:space="preserve"> </w:t>
      </w:r>
      <w:r>
        <w:rPr>
          <w:u w:val="single"/>
        </w:rPr>
        <w:t xml:space="preserve">Sensitive test results may not be disclosed to a patient  or patient representative by electronic means until at least three  days after the sensitive test results are finalized.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is not subject to civil, criminal, or administrative liability or professional disciplinary action for failure to comply with Section 159.006(d)(2) or Subsection (b) of 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