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1471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2,</w:t>
      </w:r>
      <w:r xml:space="preserve">
        <w:t> </w:t>
      </w:r>
      <w:r>
        <w:t xml:space="preserve">2023; March</w:t>
      </w:r>
      <w:r xml:space="preserve">
        <w:t> </w:t>
      </w:r>
      <w:r>
        <w:t xml:space="preserve">16,</w:t>
      </w:r>
      <w:r xml:space="preserve">
        <w:t> </w:t>
      </w:r>
      <w:r>
        <w:t xml:space="preserve">2023, read first time and referred to Committee on Education; April</w:t>
      </w:r>
      <w:r xml:space="preserve">
        <w:t> </w:t>
      </w:r>
      <w:r>
        <w:t xml:space="preserve">27,</w:t>
      </w:r>
      <w:r xml:space="preserve">
        <w:t> </w:t>
      </w:r>
      <w:r>
        <w:t xml:space="preserve">2023, reported adversely, with favorable Committee Substitute by the following vote:</w:t>
      </w:r>
      <w:r>
        <w:t xml:space="preserve"> </w:t>
      </w:r>
      <w:r>
        <w:t xml:space="preserve"> </w:t>
      </w:r>
      <w:r>
        <w:t xml:space="preserve">Yeas 13, Nays 0; April</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1471</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access by the Texas Education Agency and private schools to certain criminal history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22.0825(b),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agency shall subscribe to the criminal history clearinghouse as provided by Section 411.0845, Government Code, and may obtain from any law enforcement or criminal justice agency all criminal history record information and all records contained in any closed criminal investigation file that relate to a specific applicant for employment or current or former employee of a school district, district of innovation, open-enrollment charter school, other charter entity, </w:t>
      </w:r>
      <w:r>
        <w:rPr>
          <w:u w:val="single"/>
        </w:rPr>
        <w:t xml:space="preserve">private school that is accredited by an accrediting agency that is a member of the Texas Private School Accreditation Commission,</w:t>
      </w:r>
      <w:r>
        <w:t xml:space="preserve"> regional education service center, or shared services arrangement.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22, Education Code, is amended by adding Section 22.08361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22.08361.</w:t>
      </w:r>
      <w:r>
        <w:rPr>
          <w:u w:val="single"/>
        </w:rPr>
        <w:t xml:space="preserve"> </w:t>
      </w:r>
      <w:r>
        <w:rPr>
          <w:u w:val="single"/>
        </w:rPr>
        <w:t xml:space="preserve"> </w:t>
      </w:r>
      <w:r>
        <w:rPr>
          <w:u w:val="single"/>
        </w:rPr>
        <w:t xml:space="preserve">NATIONAL CRIMINAL HISTORY RECORD INFORMATION REVIEW OF CERTAIN PRIVATE SCHOOL EMPLOYEES.  (a) In this section, "qualified private school" has the meaning assigned by Section 411.0972,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 person who is an employee of or an applicant for employment at a qualified private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qualified private school may require a person to whom this section applies to submit to a national criminal history record information review under this section before being employed by the school.</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or immediately after securing the services of a person to whom this section applies, a qualified private school may submit or require the person to whom this section applies to submit to the department information that is required by the department for obtaining national criminal history record information, which may include fingerprints and photographs.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of the information under Subsection (c), the department shall obtain the person's national criminal history record information and report the results through the criminal history clearinghouse as provided by Section 411.0845,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qualified private school may obtain all criminal history record information that relates to a person to whom this section applies through the criminal history clearinghouse as provided by Section 411.0845, Government Code, and may subscribe to the criminal history record information of the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qualified private school may require a person to pay any fees related to obtaining criminal history record information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qualified private school requires a person to whom this section applies to submit to a national criminal history record information review, the school shall provide the agency with the name and information described by Subsection (d). The agency shall facilitate the submission of information to the department to allow the school to obtain all criminal history record information that relates to the person to whom this section applies through the criminal history clearinghouse as provided by Section 411.0845, Government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in coordination with 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411, Government Code, is amended by adding Section 411.0972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411.0972.</w:t>
      </w:r>
      <w:r>
        <w:rPr>
          <w:u w:val="single"/>
        </w:rPr>
        <w:t xml:space="preserve"> </w:t>
      </w:r>
      <w:r>
        <w:rPr>
          <w:u w:val="single"/>
        </w:rPr>
        <w:t xml:space="preserve"> </w:t>
      </w:r>
      <w:r>
        <w:rPr>
          <w:u w:val="single"/>
        </w:rPr>
        <w:t xml:space="preserve">ACCESS TO CRIMINAL HISTORY RECORD INFORMATION: QUALIFIED PRIVATE SCHOOLS. (a) In this section, "qualified private school" means a school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offers a course of instruction for students in this state in one or more grades from prekindergarten through grade 12;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accredited by an organization recognized by the Texas Education Agency or the Texas Private School Accreditation Commission;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determined to be eligible by the department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by a private school, the department shall determine whether the school is eligible under the National Child Protection Act of 1993 (34 U.S.C. Section 40102) to obtain criminal history record information that relates to an employee or an applicant for employment.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qualified private school may obtain state criminal history record information from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(f), criminal history record information obtained by a qualified private school in the original form or any subsequent form: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released to any person except the person who is the subject of the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subject to disclosure as provided by Chapter 552;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be destroyed by the school after the information is used for the authorized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qualified private school may obtain criminal history record information from the Federal Bureau of Investigation identification division in accordance with Section 411.087.</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Criminal history record information obtained from the Federal Bureau of Investigation may not be released or disclosed except on court order.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