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88R10126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central registry of names of individuals found to have abused or neglected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261.002, Family Code, is amended by amending Subsection (b) and adding Subsections (d), (e),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commissioner shall adopt rules necessary to carry out this section. </w:t>
      </w:r>
      <w:r>
        <w:t xml:space="preserve"> </w:t>
      </w:r>
      <w:r>
        <w:t xml:space="preserve">The rules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 the department from making a finding of abuse or neglect against a person in a case in which the department is named managing conservator of a child who has a severe emotional disturbance only because the child's family is unable to obtain mental health services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guidelines for reviewing the records in the registry and removing those records in which the department was named managing conservator of a child who has a severe emotional disturbance only because the child's family was unable to obtain mental health services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 the department to remove a person's name from the central registry maintained under this section not later than the 10th business day after the date the department receives notice that a finding of abuse and neglect against the person is overturned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administrative review or an appeal of the review conducted under Section 261.309(c);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review or an appeal of the review conducted by the office of consumer affairs of the department;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hearing or an appeal conducted by the State Office of Administrative Hearings;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require the department to update any relevant department files to reflect an overturned finding of abuse or neglect against a person not later than the 10th business day after the date the finding is overturned in a review, hearing, or appeal described by Subdivision (3)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guidelines for providing access to the registry to entities as required by Subsection (d)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provide access to the central registry maintained under this section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facility, home, or agency: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licensed, certified, registered, or listed under Chapter 42, Human Resources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exempt from the licensing requirements under Section 42.041(b), Human Resources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independent school district;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open-enrollment charter school;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private school accredited by an organization recognized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Education Agency;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Private School Accreditation Commission.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that maintains records of abuse and neglect findings, including the Texas Education Agency,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copy of the records to the department;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10th day after the date a state agency receives a record of an abuse or neglect finding, provide a copy of the record to the department.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include information from a record provided under Subsection (e) in the central registry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