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88R7715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1481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exercise of eminent domain authority by the Texas Facilities Commission to build a wall along this state's international border.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L, Chapter 2166, Government Code, is amended by adding Section 2166.555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2166.555.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INTERNATIONAL BORDER WALL.  (a) </w:t>
      </w:r>
      <w:r>
        <w:rPr>
          <w:u w:val="single"/>
        </w:rPr>
        <w:t xml:space="preserve"> </w:t>
      </w:r>
      <w:r>
        <w:rPr>
          <w:u w:val="single"/>
        </w:rPr>
        <w:t xml:space="preserve">The commission may exercise the power of eminent domain under Section 2166.055 to acquire an interest in real property for the construction, extension, improvement, or development of a wall along this state's international border for the purposes of preventing: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human trafficking;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illegal entry into the United States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aliens without official approval of an appropriate federal governmental authority;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terrorists and instruments of terrorism;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contraband, including narcotics and other controlled substances.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exercise the power of eminent domain under Subsection (a) to acquire: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land in fee simple;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interest less than fee simple in, on, under, or above land, including an easement, right-of-way, or right of use of airspace or subsurface space.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must adopt a resolution in accordance with Section 2206.053 before filing a condemnation petition under Chapter 21, Property Code, to exercise the power of eminent domain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resolution required by Subsection (c):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include a statement that the commission's acquisition of the property interest described in the resolution: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public necessity;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necessary and proper for the construction, extension, improvement, or development of a wall along this state's international border and is in the public interest;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conclusive evidence of the public necessity of the proposed acquisition and that the property interest is necessary for public use.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