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1481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2,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Border Security;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3, Nays 2;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exercise of eminent domain authority by the Texas Facilities Commission to build a wall along this state's international border.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L, Chapter 2166, Government Code, is amended by adding Section 2166.555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2166.555.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INTERNATIONAL BORDER WALL.  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 may exercise the power of eminent domain under Section 2166.055 to acquire an interest in real property for the construction, extension, improvement, or development of a wall along this state's international border for the purposes of preventing: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human trafficking;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illegal entry into the United States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aliens without official approval of an appropriate federal governmental authority;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terrorists and instruments of terrorism;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contraband, including narcotics and other controlled substances.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exercise the power of eminent domain under Subsection (a) to acquire: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land in fee simple;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interest less than fee simple in, on, under, or above land, including an easement, right-of-way, or right of use of airspace or subsurface space.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must adopt a resolution in accordance with Section 2206.053 before filing a condemnation petition under Chapter 21, Property Code, to exercise the power of eminent domain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resolution required by Subsection (c):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include a statement that the commission's acquisition of the property interest described in the resolution: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public necessity;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necessary and proper for the construction, extension, improvement, or development of a wall along this state's international border and is in the public interest;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conclusive evidence of the public necessity of the proposed acquisition and that the property interest is necessary for public use.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