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Creighton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1489</w:t>
      </w:r>
    </w:p>
    <w:p w:rsidR="003F3435" w:rsidRDefault="0032493E">
      <w:pPr>
        <w:spacing w:line="480" w:lineRule="auto"/>
        <w:ind w:firstLine="720"/>
        <w:jc w:val="both"/>
      </w:pPr>
      <w:r>
        <w:t xml:space="preserve">(In the Senate</w:t>
      </w:r>
      <w:r xml:space="preserve">
        <w:t> </w:t>
      </w:r>
      <w:r>
        <w:t xml:space="preserve">-</w:t>
      </w:r>
      <w:r xml:space="preserve">
        <w:t> </w:t>
      </w:r>
      <w:r>
        <w:t xml:space="preserve">Filed March</w:t>
      </w:r>
      <w:r xml:space="preserve">
        <w:t> </w:t>
      </w:r>
      <w:r>
        <w:t xml:space="preserve">2,</w:t>
      </w:r>
      <w:r xml:space="preserve">
        <w:t> </w:t>
      </w:r>
      <w:r>
        <w:t xml:space="preserve">2023; March</w:t>
      </w:r>
      <w:r xml:space="preserve">
        <w:t> </w:t>
      </w:r>
      <w:r>
        <w:t xml:space="preserve">16,</w:t>
      </w:r>
      <w:r xml:space="preserve">
        <w:t> </w:t>
      </w:r>
      <w:r>
        <w:t xml:space="preserve">2023, read first time and referred to Subcommittee on Higher Education; April</w:t>
      </w:r>
      <w:r xml:space="preserve">
        <w:t> </w:t>
      </w:r>
      <w:r>
        <w:t xml:space="preserve">27,</w:t>
      </w:r>
      <w:r xml:space="preserve">
        <w:t> </w:t>
      </w:r>
      <w:r>
        <w:t xml:space="preserve">2023, reported favorably from Committee on Education by the following vote:</w:t>
      </w:r>
      <w:r>
        <w:t xml:space="preserve"> </w:t>
      </w:r>
      <w:r>
        <w:t xml:space="preserve"> </w:t>
      </w:r>
      <w:r>
        <w:t xml:space="preserve">Yeas 10, Nays 3; April</w:t>
      </w:r>
      <w:r xml:space="preserve">
        <w:t> </w:t>
      </w:r>
      <w:r>
        <w:t xml:space="preserve">27,</w:t>
      </w:r>
      <w:r xml:space="preserve">
        <w:t> </w:t>
      </w:r>
      <w:r>
        <w:t xml:space="preserve">2023, sent to printer.)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COMMITTEE VOTE</w:t>
      </w:r>
    </w:p>
    <w:p w:rsidR="003F3435" w:rsidRDefault="003F3435"/>
    <w:p w:rsidR="003F3435" w:rsidRDefault="0032493E">
      <w:pPr>
        <w:spacing w:line="480" w:lineRule="auto"/>
        <w:ind w:firstLine="720"/>
        <w:ind w:end="1440"/>
        <w:jc w:val="both"/>
      </w:pP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Yea</w:t>
      </w:r>
      <w:r xml:space="preserve">
        <w:tab wTab="150" tlc="none" cTlc="0"/>
      </w:r>
      <w:r>
        <w:rPr>
          <w:u w:val="single"/>
        </w:rPr>
        <w:t xml:space="preserve">Nay</w:t>
      </w:r>
      <w:r xml:space="preserve">
        <w:tab wTab="150" tlc="none" cTlc="0"/>
      </w:r>
      <w:r>
        <w:rPr>
          <w:u w:val="single"/>
        </w:rPr>
        <w:t xml:space="preserve">Absent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PNV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Creighton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>
        <w:rPr>
          <w:u w:val="single"/>
        </w:rPr>
        <w:t xml:space="preserve"> 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Campbell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Bettencourt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Birdwell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Flores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King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LaMantia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Menéndez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Middleton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Parker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Paxton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Springer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West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F3435"/>
    <w:p w:rsidR="003F3435" w:rsidRDefault="0032493E">
      <w:pPr>
        <w:spacing w:line="480" w:lineRule="auto"/>
        <w:jc w:val="both"/>
      </w:pPr>
      <w:r>
        <w:t xml:space="preserve">relating to prohibiting the investment of the permanent university fund, the national research university fund, or money held by a public institution of higher education in financial companies that boycott certain energy companies.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51.0031, Education Code, is amended by adding Subsection (e)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(e)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Chapter 809, Government Code, applies to a governing board as if the governing board were a state governmental entity under that chapter.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62.143, Education Code, is amended by adding Subsection (c)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Chapter 809, Government Code, applies to the national research university fund as if the fund were a state governmental entity under that chapter.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A, Chapter 66, Education Code, is amended by adding Section 66.015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66.015.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PROHIBITION ON INVESTMENT IN FINANCIAL COMPANIES THAT BOYCOTT CERTAIN ENERGY COMPANIES.  Notwithstanding Section 66.01, Chapter 809, Government Code, applies to the permanent university fund as if the fund were a state governmental entity under that chapter.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p w:rsidR="003F3435" w:rsidRDefault="0032493E">
      <w:pPr>
        <w:spacing w:line="480" w:lineRule="auto"/>
        <w:jc w:val="center"/>
      </w:pPr>
      <w:r>
        <w:t xml:space="preserve">* * * * *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1489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