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navigation districts and the boards of trustees of municipal port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60.403(a), Water Code, is amended to read as follows:</w:t>
      </w:r>
    </w:p>
    <w:p w:rsidR="003F3435" w:rsidRDefault="0032493E">
      <w:pPr>
        <w:spacing w:line="480" w:lineRule="auto"/>
        <w:ind w:firstLine="720"/>
        <w:jc w:val="both"/>
      </w:pPr>
      <w:r>
        <w:t xml:space="preserve">(a)</w:t>
      </w:r>
      <w:r xml:space="preserve">
        <w:t> </w:t>
      </w:r>
      <w:r xml:space="preserve">
        <w:t> </w:t>
      </w:r>
      <w:r>
        <w:t xml:space="preserve">A port commission, an authorized designated officer of the port commission, the executive director of the district or the port authority, or an authorized representative of the executive director may make routine purchases or contracts in an amount not to exceed $50,000. </w:t>
      </w:r>
      <w:r>
        <w:t xml:space="preserve"> </w:t>
      </w:r>
      <w:r>
        <w:rPr>
          <w:u w:val="single"/>
        </w:rPr>
        <w:t xml:space="preserve">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60.4035(a),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60.412(a), Water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item 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62.106(e), Water Code, is amended to read as follows:</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w:t>
      </w:r>
      <w:r>
        <w:rPr>
          <w:u w:val="single"/>
        </w:rPr>
        <w:t xml:space="preserve">Chapter 21, Property Code</w:t>
      </w:r>
      <w:r>
        <w:t xml:space="preserve"> [</w:t>
      </w:r>
      <w:r>
        <w:rPr>
          <w:strike/>
        </w:rPr>
        <w:t xml:space="preserve">Subchapter F of Chapter 51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62.120(a),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w:t>
      </w:r>
      <w:r>
        <w:rPr>
          <w:u w:val="single"/>
        </w:rPr>
        <w:t xml:space="preserve">or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62.122, Water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DISPOSITION OF SALVAGE OR SURPLUS PERSONAL PROPERTY.  (a)  Except as provided by Subsection (b), the commission </w:t>
      </w:r>
      <w:r>
        <w:rPr>
          <w:u w:val="single"/>
        </w:rPr>
        <w:t xml:space="preserve">or board of trustees under Chapter 54, Transportation Code,</w:t>
      </w:r>
      <w:r>
        <w:t xml:space="preserve"> may periodically dispose of surplus or salvage personal property in the same manner as the commissioners court of a county under Subchapter D, Chapter 263, Local Government Code.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board of trustees under Chapter 54, Transportation Code,</w:t>
      </w:r>
      <w:r>
        <w:t xml:space="preserv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any required action by the United States Army Corps of Engineers, the sale of dredge material from a dredge material placement area to any person on such terms and conditions as the commission or board of trustees considers appropriate or advantageous to the district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1500 passed the Senate on April</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9,</w:t>
      </w:r>
      <w:r xml:space="preserve">
        <w:t> </w:t>
      </w:r>
      <w:r>
        <w:t xml:space="preserve">2023, Senate refused to concur in House amendments and requested appointment of Conference Committee; May</w:t>
      </w:r>
      <w:r xml:space="preserve">
        <w:t> </w:t>
      </w:r>
      <w:r>
        <w:t xml:space="preserve">15,</w:t>
      </w:r>
      <w:r xml:space="preserve">
        <w:t> </w:t>
      </w:r>
      <w:r>
        <w:t xml:space="preserve">2023, House granted request of the Senate; May</w:t>
      </w:r>
      <w:r xml:space="preserve">
        <w:t> </w:t>
      </w:r>
      <w:r>
        <w:t xml:space="preserve">26,</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1500 passed the House, with amendments, on May</w:t>
      </w:r>
      <w:r xml:space="preserve">
        <w:t> </w:t>
      </w:r>
      <w:r>
        <w:t xml:space="preserve">6,</w:t>
      </w:r>
      <w:r xml:space="preserve">
        <w:t> </w:t>
      </w:r>
      <w:r>
        <w:t xml:space="preserve">2023, by the following vote:</w:t>
      </w:r>
      <w:r xml:space="preserve">
        <w:t> </w:t>
      </w:r>
      <w:r xml:space="preserve">
        <w:t> </w:t>
      </w:r>
      <w:r>
        <w:t xml:space="preserve">Yeas</w:t>
      </w:r>
      <w:r xml:space="preserve">
        <w:t> </w:t>
      </w:r>
      <w:r>
        <w:t xml:space="preserve">135, Nays</w:t>
      </w:r>
      <w:r xml:space="preserve">
        <w:t> </w:t>
      </w:r>
      <w:r>
        <w:t xml:space="preserve">3, one present not voting; May</w:t>
      </w:r>
      <w:r xml:space="preserve">
        <w:t> </w:t>
      </w:r>
      <w:r>
        <w:t xml:space="preserve">15,</w:t>
      </w:r>
      <w:r xml:space="preserve">
        <w:t> </w:t>
      </w:r>
      <w:r>
        <w:t xml:space="preserve">2023, House granted request of the Senate for appointment of Conference Committee; May</w:t>
      </w:r>
      <w:r xml:space="preserve">
        <w:t> </w:t>
      </w:r>
      <w:r>
        <w:t xml:space="preserve">25,</w:t>
      </w:r>
      <w:r xml:space="preserve">
        <w:t> </w:t>
      </w:r>
      <w:r>
        <w:t xml:space="preserve">2023, House adopted Conference Committee Report by the following vote:</w:t>
      </w:r>
      <w:r xml:space="preserve">
        <w:t> </w:t>
      </w:r>
      <w:r xml:space="preserve">
        <w:t> </w:t>
      </w:r>
      <w:r>
        <w:t xml:space="preserve">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