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88R13300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1519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electric utility weather emergency preparedness.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38.075(e), Utilities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Notwithstanding any other provision of this subtitle, the commission shall allow a transmission and distribution utility to design and operate a load management program for [</w:t>
      </w:r>
      <w:r>
        <w:rPr>
          <w:strike/>
        </w:rPr>
        <w:t xml:space="preserve">nonresidential</w:t>
      </w:r>
      <w:r>
        <w:t xml:space="preserve">] customers to be used where the independent organization certified under Section 39.151 for the ERCOT power region has declared a Level 2 Emergency or a higher level of emergency or has otherwise directed the transmission and distribution utility to shed load. </w:t>
      </w:r>
      <w:r>
        <w:t xml:space="preserve"> </w:t>
      </w:r>
      <w:r>
        <w:t xml:space="preserve">A transmission and distribution utility implementing a load management program under this subsection shall be permitted to recover the reasonable and necessary costs of the load management program under Chapter 36. </w:t>
      </w:r>
      <w:r>
        <w:t xml:space="preserve"> </w:t>
      </w:r>
      <w:r>
        <w:t xml:space="preserve">A load management program operated under this subsection is not considered a competitive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