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88R11825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1521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amount of certain motor vehicle sales and use taxes and penalties that certain counties may retain each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152.123, Tax Code, is amended by adding Subsection (a-1) and amending Subsection (b)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(a), the tax assessor-collector of a county that borders the United Mexican States and contains a municipality with a population of 500,000 or more each calendar year shall calculate six percent of the tax and penalties collected by the county tax assessor-collector under this chapter in the preceding calendar year.  In addition, the county tax assessor-collector shall calculate each calendar year an amount equal to six percent of the tax and penalties that the comptroller: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collected under Section 152.047 in the preceding calendar year;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determines are attributable to sales in the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county shall retain the [</w:t>
      </w:r>
      <w:r>
        <w:rPr>
          <w:strike/>
        </w:rPr>
        <w:t xml:space="preserve">following percentage of the</w:t>
      </w:r>
      <w:r>
        <w:t xml:space="preserve">] amounts calculated under Subsection (a) </w:t>
      </w:r>
      <w:r>
        <w:rPr>
          <w:u w:val="single"/>
        </w:rPr>
        <w:t xml:space="preserve">or (a-1), as applicable</w:t>
      </w:r>
      <w:r>
        <w:t xml:space="preserve"> [</w:t>
      </w:r>
      <w:r>
        <w:rPr>
          <w:strike/>
        </w:rPr>
        <w:t xml:space="preserve">during each of the following fiscal years: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in fiscal year 2006, 10 percent;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in fiscal year 2007, 20 percent;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in fiscal year 2008, 30 percent;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(4)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in fiscal year 2009, 40 percent;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(5)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in fiscal year 2010, 50 percent;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(6)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in fiscal year 2011, 60 percent;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(7)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in fiscal year 2012, 70 percent;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(8)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in fiscal year 2013, 80 percent;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(9)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in fiscal year 2014, 90 percent;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(10)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in fiscal year 2015 and succeeding years, 100 percent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