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Blanco, 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1524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3,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Transportation;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authority of the Texas Department of Transportation to provide department services on federal military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201.1056(a),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enter into an agreement with the United States Department of Defense or another federal entity to allow the department to assist with the provision of </w:t>
      </w:r>
      <w:r>
        <w:rPr>
          <w:u w:val="single"/>
        </w:rPr>
        <w:t xml:space="preserve">any department services, including</w:t>
      </w:r>
      <w:r>
        <w:t xml:space="preserve"> road maintenance, improvement, relocation, or extension services</w:t>
      </w:r>
      <w:r>
        <w:rPr>
          <w:u w:val="single"/>
        </w:rPr>
        <w:t xml:space="preserve">,</w:t>
      </w:r>
      <w:r>
        <w:t xml:space="preserve"> for military installations.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