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home address information in property tax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25.025(a),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current or honorably retired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federal bankruptcy judge, a marshal of the United States Marshals Service, a state judge, or a family member of a federal judge, a federal bankruptcy judge, a marshal of the United States Marshals Service, or a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current or honorably retired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assistant United States attorney, federal public defender, deputy federal public defender, or assistant federal public defender and the spouse and child of the attorney or public defender;</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(25)</w:t>
      </w:r>
      <w:r xml:space="preserve">
        <w:t> </w:t>
      </w:r>
      <w:r xml:space="preserve">
        <w:t> </w:t>
      </w:r>
      <w:r>
        <w:t xml:space="preserve">an elected public officer;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firefighter or volunteer firefighter or emergency medical services personnel as defined by Section 773.003, Health and Safety Code</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current or former attorney for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1525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1525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117, Nays</w:t>
      </w:r>
      <w:r xml:space="preserve">
        <w:t> </w:t>
      </w:r>
      <w:r>
        <w:t xml:space="preserve">21,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