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88R6779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1535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and modification of bail for certain defendants.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 Code of Criminal Procedure, is amended by adding Article 17.029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17.029.</w:t>
      </w:r>
      <w:r>
        <w:rPr>
          <w:u w:val="single"/>
        </w:rPr>
        <w:t xml:space="preserve"> </w:t>
      </w:r>
      <w:r>
        <w:rPr>
          <w:u w:val="single"/>
        </w:rPr>
        <w:t xml:space="preserve"> </w:t>
      </w:r>
      <w:r>
        <w:rPr>
          <w:u w:val="single"/>
        </w:rPr>
        <w:t xml:space="preserve">BAIL MODIFICATION FOR CERTAIN DEFENDANTS.  (a) </w:t>
      </w:r>
      <w:r>
        <w:rPr>
          <w:u w:val="single"/>
        </w:rPr>
        <w:t xml:space="preserve"> </w:t>
      </w:r>
      <w:r>
        <w:rPr>
          <w:u w:val="single"/>
        </w:rPr>
        <w:t xml:space="preserve">This article applies only with respect to a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in a county with a population of one million or more, is charged with an offense punishable as a Class B misdemeanor or any higher category of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whom a bail decision under Article 17.028:</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made by a mayor, recorder, or judge of a municipal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denies the defendant's release on bail or sets an amount of monetary bail for the defendant;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who, following the bail decision, is transferred from a municipal jail to a county jail in the county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48 hours after a defendant described by Subsection (a) is transferred to the county jail, a judge of a court in that county with jurisdiction over the category of offense charged, or any magistrate designated in writing by that judge, other than a mayor, recorder, or judge of a municipal court, may review and modify the bail decision for the defendant.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modifying a bail decision under Subsection (b), the judge shall conduct the individualized consideration required by Article 17.028(a).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arrested on or after the effective date of this Act. </w:t>
      </w:r>
      <w:r>
        <w:t xml:space="preserve"> </w:t>
      </w:r>
      <w:r>
        <w:t xml:space="preserve">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