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88R6738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1547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school safety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Funds allocated under this section must be used to improve school safety and security, including costs associated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securing school facilities,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improvements to school infrastructure;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or installation of physical barriers;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purchase and maintenance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security cameras or other security equipment;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technology, including communications systems or devices, that facilitates communication and information sharing between students, school personnel, and first responders in an emergency;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security for the district,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employing school district peace officers, private security officers, and school marshals;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collaborating with local law enforcement agencies, such as entering into a memorandum of understanding for the assignment of school resource officers to schools in the district;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stipends to employees who are authorized under the written regulations or written authorization of the district to carry a firearm on the physical premises of the district in accordance with Section 46.03(a)(1)(A), Penal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reimbursing expenses incurred by retired peace officers or honorably discharged veterans of the armed forces of the United States in providing security services as a volunteer at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school safety and security training and planning,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active shooter and emergency response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prevention and treatment programs relating to addressing adverse childhood experiences;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prevention, identification, and management of emergencies and threats, using evidence-based, effective prevention practices and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providing licensed counselors, social workers, and individuals trained in restorative discipline and restorative justice practices;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mental health personnel and support;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behavioral health services;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establishing threat reporting systems;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developing and implementing programs focused on restorative justice practices, culturally relevant instruction, and providing mental health support;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providing programs related to suicide prevention, intervention, and postvention.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