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2023S0239-T  03/03/23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1549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severance tax for gas produced from certain wells that is consumed on site and would otherwise have been lawfully vented or flared.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201, Tax Code, is amended by adding Section 201.061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201.061.</w:t>
      </w:r>
      <w:r>
        <w:rPr>
          <w:u w:val="single"/>
        </w:rPr>
        <w:t xml:space="preserve"> </w:t>
      </w:r>
      <w:r>
        <w:rPr>
          <w:u w:val="single"/>
        </w:rPr>
        <w:t xml:space="preserve"> </w:t>
      </w:r>
      <w:r>
        <w:rPr>
          <w:u w:val="single"/>
        </w:rPr>
        <w:t xml:space="preserve">EXEMPTION FOR GAS PRODUCED THAT WOULD OTHERWISE HAVE BEEN VENTED OR FLARED.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Railroad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well" means a well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connected to a pipeline on which pipeline takeaway capacity is not expected to meet the demand for gas produced by the well;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connected to a pipeline and for which connection to a pipeline is technically or commercially unfeasible but is operated by a well operator who has contractually dedicated the well, the gas produced from the well, or the land or lease on which the well is located to a pipeline operator;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connected to a pipeline and is operated by a well operator who has not contractually dedicated the well, the gas produced from the well, or the land or lease on which the well is located to a pipeline operator.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"Well operator" means the person responsible for the actual physical operation of an oil or gas well.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Gas produced from a qualifying well that is consumed on the well site and would otherwise have been lawfully vented or flared is not subject to the tax imposed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well operator and a pipeline operator, as applicable, may apply to the commission in the manner provided by Subsection (d), (e), or (f), as applicable, for certification that a well is a qualifying well.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application that relates to a well described by Subsection (a)(2)(A)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that the pipeline takeaway capacity is not expected to meet the demand for gas produced by the well;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submitted jointly by the well operator and the pipeline operator;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certify that the well has received an exemption to flare from the commission totaling 30 days in the year preceding their application.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application that relates to a well described by Subsection (a)(2)(B)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well is not connected to a pipeline;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technically or commercially unfeasible to connect the well to a pipeline;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submitted jointly by the well operator and the pipeline operator.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certify that the well has received an exemption to flare from the commission totaling 30 days in the year preceding their application.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application that relates to a well described by Subsection (a)(2)(C)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that the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connected to a pipeline;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operated by a well operator who has not contractually dedicated the well, the gas produced from the well, or the land or lease on which the well is located to a pipeline operator;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submitted by the well operator;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certify that the well has received an exemption to flare from the commission totaling 30 days in the year preceding their application.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require an applicant described by Subsection (c) to provide the commission with any information the commission determines is relevant to determining whether a well is a qualifying well. </w:t>
      </w:r>
      <w:r>
        <w:rPr>
          <w:u w:val="single"/>
        </w:rPr>
        <w:t xml:space="preserve"> </w:t>
      </w:r>
      <w:r>
        <w:rPr>
          <w:u w:val="single"/>
        </w:rPr>
        <w:t xml:space="preserve">If the commission approves an application submitted under Subsection (c), the commission shall issue a certificate designating the well as a qualifying well. </w:t>
      </w:r>
      <w:r>
        <w:rPr>
          <w:u w:val="single"/>
        </w:rPr>
        <w:t xml:space="preserve"> </w:t>
      </w:r>
      <w:r>
        <w:rPr>
          <w:u w:val="single"/>
        </w:rPr>
        <w:t xml:space="preserve">The certificate shall expire one year after the commission issues the certification.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qualified well certified under subsection (d) must use all available pipeline takeaway capacity before using gas for on site uses which qualify for the exemption provided by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To qualify for the exemption provided by this section, the person responsible for paying the tax imposed by this chapter must apply to the comptroller.  The application must contain the certificate issued by the commission under Subsection (g).  The comptroller may require a person applying for the exemption to provide any additional information the comptroller determines is relevant to determining whether the gas is eligible for the exemption.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well operator, or pipeline operator shall notify the comptroller in writing immediately if a well certified under this section is no longer a qualifying well.</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and the comptroller may adopt rules necessary to implement and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