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88R10236 SRA-D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1558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certain gold or silver bullion or specie as legal tender and an exemption from sales and use taxes for certain items containing certain precious metals.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15, Business &amp; Commerce Code, is amended by adding Chapter 662 to read as follows:</w:t>
      </w:r>
    </w:p>
    <w:p w:rsidR="003F3435" w:rsidRDefault="0032493E">
      <w:pPr>
        <w:spacing w:line="480" w:lineRule="auto"/>
        <w:jc w:val="center"/>
      </w:pPr>
      <w:r>
        <w:rPr>
          <w:u w:val="single"/>
        </w:rPr>
        <w:t xml:space="preserve">CHAPTER 662.  GOLD OR SILVER BULLION OR SPECIE AS LEGAL TENDER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662.001.</w:t>
      </w:r>
      <w:r>
        <w:rPr>
          <w:u w:val="single"/>
        </w:rPr>
        <w:t xml:space="preserve"> </w:t>
      </w:r>
      <w:r>
        <w:rPr>
          <w:u w:val="single"/>
        </w:rPr>
        <w:t xml:space="preserve"> </w:t>
      </w:r>
      <w:r>
        <w:rPr>
          <w:u w:val="single"/>
        </w:rPr>
        <w:t xml:space="preserve">GOLD OR SILVER BULLION OR SPECIE AS LEGAL TENDER.  (a)  In this section, "bullion" and "specie" have the meanings assigned by Section 2116.001,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Specie issued by the United States is legal tender in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expressly provided by contract, a person may not compel any other person to tender or accept specie.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Gold or silver specie bullion or specie, other than gold or silver specie that is issued by the United States, is considered to be legal tender in this state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court of competent jurisdiction issues a final, unappealable judgment or order stating that this state may recognize the gold or silver bullion or specie other than gold or silver specie issued by the United States as legal tender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United States Congress enacts legislation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expressly provides that the gold or silver bullion or specie other than gold or silver specie that is issued by the United States is legal tender in this state;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expressly allows this state to recognize the gold or silver bullion or specie other than gold or silver specie issued by the United States as legal tender in this state.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151.336, Tax Code, is amended to read as follows:</w:t>
      </w:r>
    </w:p>
    <w:p w:rsidR="003F3435" w:rsidRDefault="0032493E">
      <w:pPr>
        <w:spacing w:line="480" w:lineRule="auto"/>
        <w:ind w:firstLine="720"/>
        <w:jc w:val="both"/>
      </w:pPr>
      <w:r>
        <w:t xml:space="preserve">Sec.</w:t>
      </w:r>
      <w:r xml:space="preserve">
        <w:t> </w:t>
      </w:r>
      <w:r>
        <w:t xml:space="preserve">151.336.</w:t>
      </w:r>
      <w:r xml:space="preserve">
        <w:t> </w:t>
      </w:r>
      <w:r xml:space="preserve">
        <w:t> </w:t>
      </w:r>
      <w:r>
        <w:t xml:space="preserve">CERTAIN COINS AND </w:t>
      </w:r>
      <w:r>
        <w:rPr>
          <w:u w:val="single"/>
        </w:rPr>
        <w:t xml:space="preserve">OTHER ITEMS CONTAINING</w:t>
      </w:r>
      <w:r>
        <w:t xml:space="preserve"> PRECIOUS METALS.  The sale of </w:t>
      </w:r>
      <w:r>
        <w:rPr>
          <w:u w:val="single"/>
        </w:rPr>
        <w:t xml:space="preserve">the following are exempted from the taxes imposed by this chapter:</w:t>
      </w:r>
    </w:p>
    <w:p w:rsidR="003F3435" w:rsidRDefault="0032493E">
      <w:pPr>
        <w:spacing w:line="480" w:lineRule="auto"/>
        <w:ind w:firstLine="1440"/>
        <w:jc w:val="both"/>
      </w:pPr>
      <w:r>
        <w:rPr>
          <w:u w:val="single"/>
        </w:rPr>
        <w:t xml:space="preserve">(1)</w:t>
      </w:r>
      <w:r xml:space="preserve">
        <w:t> </w:t>
      </w:r>
      <w:r xml:space="preserve">
        <w:t> </w:t>
      </w:r>
      <w:r>
        <w:t xml:space="preserve">gold, silver, or numismatic coins</w:t>
      </w:r>
      <w:r>
        <w:rPr>
          <w:u w:val="single"/>
        </w:rPr>
        <w:t xml:space="preserve">;</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or of</w:t>
      </w:r>
      <w:r>
        <w:t xml:space="preserve">] platinum, gold, or silver bullion</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note, leaf, foil, or film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used as currency;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not considered legal tender by this state, another state, the United States, or a foreign country;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a gold, silver, or platinum metallic content of at least 50 percent, exclusive of any transparent polymer holder, coating, or encasement</w:t>
      </w:r>
      <w:r>
        <w:t xml:space="preserve"> [</w:t>
      </w:r>
      <w:r>
        <w:rPr>
          <w:strike/>
        </w:rPr>
        <w:t xml:space="preserve">is exempted from the taxes imposed by this chapter</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to Section 151.336, Tax Code, does not affect tax liability accruing before the effective date of this Act.  That liability continues in effect as if this Act had not been enacted, and the former law is continued in effect for the collection of taxes due and for civil and criminal enforcement of the liability for those taxes.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1558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