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Hancock, et al.</w:t>
      </w:r>
      <w:r xml:space="preserve">
        <w:tab wTab="150" tlc="none" cTlc="0"/>
      </w:r>
      <w:r>
        <w:t xml:space="preserve">S.B.</w:t>
      </w:r>
      <w:r xml:space="preserve">
        <w:t> </w:t>
      </w:r>
      <w:r>
        <w:t xml:space="preserve">No.</w:t>
      </w:r>
      <w:r xml:space="preserve">
        <w:t> </w:t>
      </w:r>
      <w:r>
        <w:t xml:space="preserve">1562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creating the criminal offense of child grooming.</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15, Penal Code, is amended by adding Section 15.032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15.032.</w:t>
      </w:r>
      <w:r>
        <w:rPr>
          <w:u w:val="single"/>
        </w:rPr>
        <w:t xml:space="preserve"> </w:t>
      </w:r>
      <w:r>
        <w:rPr>
          <w:u w:val="single"/>
        </w:rPr>
        <w:t xml:space="preserve"> </w:t>
      </w:r>
      <w:r>
        <w:rPr>
          <w:u w:val="single"/>
        </w:rPr>
        <w:t xml:space="preserve">CHILD GROOMING. (a) A person commits an offense if, with the intent that an offense under Chapter 43 or an offense involving sexual activity, the occurrence of which would subject the actor to criminal liability under Chapter 20A, 21, or 22, be committed, the person knowingly persuades, induces, entices, or coerces, or attempts to persuade, induce, entice, or coerce, a child younger than 18 years of age to engage in specific conduct that, under the circumstances surrounding the actor's conduct as the actor believes them to be, would: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constitute an offense under Chapter 43 or an offense involving sexual activity the occurrence of which would subject the actor to criminal liability under Chapter 20A, 21, or 22;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the child a party to the commission of an offense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felony of the third degree, except that the offense is a felony of the second degree if the actor has previously been convicted of an offense under: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20A, if the offense involved conduct described by Section 20A.02(a)(7) or (8);</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21.02;</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21.11;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22.011, if the victim of the offense was a child under 18 years of age;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22.021, if the victim of the offense was a child under 18 years of age.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It is an affirmative defense to prosecution under this section that the actor is under the age of 18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actor engaged in conduct described by Subsection (a) with respect to another child under the age of 18:</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who is not more than three years older or younger than the actor and with whom the actor had a dating relationship at the time of the offense;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who was the spouse of the actor at the time of the offense;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conduct occurred only between the actor and the other child described by Subdivision (1).</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conduct constituting an offense under this section also constitutes an offense under another section of this code, the actor may be prosecuted under either section but not both sections.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