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88R10328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1567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public schools to maintain physical copies of certain instructional materials.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31, Education Code, is amended by adding Section 31.107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31.107.</w:t>
      </w:r>
      <w:r>
        <w:rPr>
          <w:u w:val="single"/>
        </w:rPr>
        <w:t xml:space="preserve"> </w:t>
      </w:r>
      <w:r>
        <w:rPr>
          <w:u w:val="single"/>
        </w:rPr>
        <w:t xml:space="preserve"> </w:t>
      </w:r>
      <w:r>
        <w:rPr>
          <w:u w:val="single"/>
        </w:rPr>
        <w:t xml:space="preserve">REQUIRED PHYSICAL COPIES OF INSTRUCTIONAL MATERIALS.  The board of trustees of each school district and the governing body of each open-enrollment charter school shall, for each instructional material selected by the district or school for a subject in the foundation or enrichment curriculum: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at least one physical copy of the instructional material in each classroom in which the instructional material is used;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each teacher at a district or school who uses the instructional material in teaching a course a physical copy of the teacher version of the instructional material, if available;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in the school library at each district or school campus at which the instructional material is used a number of physical copies of the instructional material at least equal to five percent of the total number of students in the grade level in which the instructional material is used.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