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88R12765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review of the creation of certain proposed municipal utility districts by county commissioners courts.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54.0161(a-2) and (b), Water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(a-2)</w:t>
      </w:r>
      <w:r xml:space="preserve">
        <w:t> </w:t>
      </w:r>
      <w:r xml:space="preserve">
        <w:t> </w:t>
      </w:r>
      <w:r>
        <w:t xml:space="preserve">The commissioners court of a county in which the district is to be located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review the petition for creation and other evidence and information relating to the proposed district that the commissioners consider necessary. Petitioners for the creation of a district shall submit to the county commissioners court any relevant information requested by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 xml:space="preserve">
        <w:t> </w:t>
      </w:r>
      <w:r>
        <w:t xml:space="preserve">[</w:t>
      </w:r>
      <w:r>
        <w:rPr>
          <w:strike/>
        </w:rPr>
        <w:t xml:space="preserve">In the event the county commissioners court votes to submit information to the commission or to make a recommendation regarding the creation of the proposed district, the</w:t>
      </w:r>
      <w:r>
        <w:t xml:space="preserve">] commissioners court shall submit to the commission, at least 10 days before the date set for action on the petition, a written opinion stating: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whether the commissioners court recommends the creation of the proposed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findings, conclusions, and other information that the commissioners court thinks would assist the commission in making a final determination on the petition.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