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1575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chair of the State Board of Education to request an attorney general opinion.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opinion may be requested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head of a department of state government;</w:t>
      </w:r>
    </w:p>
    <w:p w:rsidR="003F3435" w:rsidRDefault="0032493E">
      <w:pPr>
        <w:spacing w:line="480" w:lineRule="auto"/>
        <w:ind w:firstLine="1440"/>
        <w:jc w:val="both"/>
      </w:pPr>
      <w:r>
        <w:t xml:space="preserve">(3)</w:t>
      </w:r>
      <w:r xml:space="preserve">
        <w:t> </w:t>
      </w:r>
      <w:r xml:space="preserve">
        <w:t> </w:t>
      </w:r>
      <w:r>
        <w:t xml:space="preserve">a head or board of a penal institution;</w:t>
      </w:r>
    </w:p>
    <w:p w:rsidR="003F3435" w:rsidRDefault="0032493E">
      <w:pPr>
        <w:spacing w:line="480" w:lineRule="auto"/>
        <w:ind w:firstLine="1440"/>
        <w:jc w:val="both"/>
      </w:pPr>
      <w:r>
        <w:t xml:space="preserve">(4)</w:t>
      </w:r>
      <w:r xml:space="preserve">
        <w:t> </w:t>
      </w:r>
      <w:r xml:space="preserve">
        <w:t> </w:t>
      </w:r>
      <w:r>
        <w:t xml:space="preserve">a head or board of an eleemosynary institution;</w:t>
      </w:r>
    </w:p>
    <w:p w:rsidR="003F3435" w:rsidRDefault="0032493E">
      <w:pPr>
        <w:spacing w:line="480" w:lineRule="auto"/>
        <w:ind w:firstLine="1440"/>
        <w:jc w:val="both"/>
      </w:pPr>
      <w:r>
        <w:t xml:space="preserve">(5)</w:t>
      </w:r>
      <w:r xml:space="preserve">
        <w:t> </w:t>
      </w:r>
      <w:r xml:space="preserve">
        <w:t> </w:t>
      </w:r>
      <w:r>
        <w:t xml:space="preserve">the head of a state board;</w:t>
      </w:r>
    </w:p>
    <w:p w:rsidR="003F3435" w:rsidRDefault="0032493E">
      <w:pPr>
        <w:spacing w:line="480" w:lineRule="auto"/>
        <w:ind w:firstLine="1440"/>
        <w:jc w:val="both"/>
      </w:pPr>
      <w:r>
        <w:t xml:space="preserve">(6)</w:t>
      </w:r>
      <w:r xml:space="preserve">
        <w:t> </w:t>
      </w:r>
      <w:r xml:space="preserve">
        <w:t> </w:t>
      </w:r>
      <w:r>
        <w:t xml:space="preserve">a regent or trustee of a state educational institution;</w:t>
      </w:r>
    </w:p>
    <w:p w:rsidR="003F3435" w:rsidRDefault="0032493E">
      <w:pPr>
        <w:spacing w:line="480" w:lineRule="auto"/>
        <w:ind w:firstLine="1440"/>
        <w:jc w:val="both"/>
      </w:pPr>
      <w:r>
        <w:t xml:space="preserve">(7)</w:t>
      </w:r>
      <w:r xml:space="preserve">
        <w:t> </w:t>
      </w:r>
      <w:r xml:space="preserve">
        <w:t> </w:t>
      </w:r>
      <w:r>
        <w:t xml:space="preserve">a committee of a house of the legislature;</w:t>
      </w:r>
    </w:p>
    <w:p w:rsidR="003F3435" w:rsidRDefault="0032493E">
      <w:pPr>
        <w:spacing w:line="480" w:lineRule="auto"/>
        <w:ind w:firstLine="1440"/>
        <w:jc w:val="both"/>
      </w:pPr>
      <w:r>
        <w:t xml:space="preserve">(8)</w:t>
      </w:r>
      <w:r xml:space="preserve">
        <w:t> </w:t>
      </w:r>
      <w:r xml:space="preserve">
        <w:t> </w:t>
      </w:r>
      <w:r>
        <w:t xml:space="preserve">a county auditor authorized by law;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the chairman of the governing board of a river authority</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chair of the State Board of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