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88R2466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provide certain public school students an opportunity to visit the State Capitol.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29.919.</w:t>
      </w:r>
      <w:r>
        <w:rPr>
          <w:u w:val="single"/>
        </w:rPr>
        <w:t xml:space="preserve"> </w:t>
      </w:r>
      <w:r>
        <w:rPr>
          <w:u w:val="single"/>
        </w:rPr>
        <w:t xml:space="preserve"> </w:t>
      </w:r>
      <w:r>
        <w:rPr>
          <w:u w:val="single"/>
        </w:rPr>
        <w:t xml:space="preserve">GRANT PROGRAM FOR STATE CAPITOL VISITS.  (a) </w:t>
      </w:r>
      <w:r>
        <w:rPr>
          <w:u w:val="single"/>
        </w:rPr>
        <w:t xml:space="preserve"> </w:t>
      </w:r>
      <w:r>
        <w:rPr>
          <w:u w:val="single"/>
        </w:rPr>
        <w:t xml:space="preserve">From funds appropriated or otherwise available for that purpose, the commissioner shall establish a grant program under which grants are awarded to schools that receive federal funding under Title I, Elementary and Secondary Education Act of 1965 (20 U.S.C. Section 6301 et seq.) to provide students an opportunity to visit the State Capitol as part of a course, extracurricular activity, or field trip.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procedures for a school to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solicit and accept gifts, grants, and donations from any public or private source for the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establish and administer the grant program for State Capitol visits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commissioner of education shall adopt rules to implement the grant program for State Capitol visits under Section 29.919,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