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1592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1592</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w:t>
      </w:r>
      <w:r>
        <w:rPr>
          <w:u w:val="single"/>
        </w:rPr>
        <w:t xml:space="preserve">19</w:t>
      </w:r>
      <w:r>
        <w:t xml:space="preserve"> [</w:t>
      </w:r>
      <w:r>
        <w:rPr>
          <w:strike/>
        </w:rPr>
        <w:t xml:space="preserve">18</w:t>
      </w:r>
      <w:r>
        <w:t xml:space="preserve">]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one individual licensed by the State Board of Veterinary Medical Examiners; and</w:t>
      </w:r>
    </w:p>
    <w:p w:rsidR="003F3435" w:rsidRDefault="0032493E">
      <w:pPr>
        <w:spacing w:line="480" w:lineRule="auto"/>
        <w:ind w:firstLine="1440"/>
        <w:jc w:val="both"/>
      </w:pPr>
      <w:r>
        <w:rPr>
          <w:u w:val="single"/>
        </w:rP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an individual licensed by the State Board of Veterinary Medical Examiners to the radiation advisory board as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