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Hughes, Hall, Kolkhorst</w:t>
      </w:r>
      <w:r xml:space="preserve">
        <w:tab wTab="150" tlc="none" cTlc="0"/>
      </w:r>
      <w:r>
        <w:t xml:space="preserve">S.B.</w:t>
      </w:r>
      <w:r xml:space="preserve">
        <w:t> </w:t>
      </w:r>
      <w:r>
        <w:t xml:space="preserve">No.</w:t>
      </w:r>
      <w:r xml:space="preserve">
        <w:t> </w:t>
      </w:r>
      <w:r>
        <w:t xml:space="preserve">1600</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person submitting proof of citizenship to verify eligibility to vote in Texas.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 Election Code, is amended by amending Subsection (a) and adding Subsection (a-1) to read as follows:</w:t>
      </w:r>
    </w:p>
    <w:p w:rsidR="003F3435" w:rsidRDefault="0032493E">
      <w:pPr>
        <w:spacing w:line="480" w:lineRule="auto"/>
        <w:ind w:firstLine="720"/>
        <w:jc w:val="both"/>
      </w:pPr>
      <w:r>
        <w:t xml:space="preserve">(a)</w:t>
      </w:r>
      <w:r xml:space="preserve">
        <w:t> </w:t>
      </w:r>
      <w:r xml:space="preserve">
        <w:t> </w:t>
      </w:r>
      <w:r>
        <w:t xml:space="preserve">A person desiring to register to vote must submit an application </w:t>
      </w:r>
      <w:r>
        <w:rPr>
          <w:u w:val="single"/>
        </w:rPr>
        <w:t xml:space="preserve">and proof of citizenship as required under Subsection (a-1)</w:t>
      </w:r>
      <w:r>
        <w:t xml:space="preserve"> to the registrar of the county in which the person resides.</w:t>
      </w:r>
      <w:r xml:space="preserve">
        <w:t> </w:t>
      </w:r>
      <w:r xml:space="preserve">
        <w:t> </w:t>
      </w:r>
      <w:r>
        <w:t xml:space="preserve">Except as provided by Subsection (e), an application must be submitted by personal delivery, by mail, or by telephonic facsimile machine in accordance with Sections 13.143(d) and (d-2).</w:t>
      </w:r>
    </w:p>
    <w:p w:rsidR="003F3435" w:rsidRDefault="0032493E">
      <w:pPr>
        <w:spacing w:line="480" w:lineRule="auto"/>
        <w:ind w:firstLine="720"/>
        <w:jc w:val="both"/>
      </w:pPr>
      <w:r>
        <w:rPr>
          <w:u w:val="single"/>
        </w:rPr>
        <w:t xml:space="preserve">(a-1)</w:t>
      </w:r>
      <w:r>
        <w:rPr>
          <w:u w:val="single"/>
        </w:rPr>
        <w:t xml:space="preserve"> </w:t>
      </w:r>
      <w:r>
        <w:rPr>
          <w:u w:val="single"/>
        </w:rPr>
        <w:t xml:space="preserve"> </w:t>
      </w:r>
      <w:r>
        <w:rPr>
          <w:u w:val="single"/>
        </w:rPr>
        <w:t xml:space="preserve">To the extent permitted by the National Voter Registration Act of 1993 (52 U.S.C. Section 20501 et seq.) and Arizona v. Inter Tribal Council Of Arizona, Inc., 570 U.S. 1 (2013), the secretary of state shall prescribe rules that require a person to submit to the registrar proof of citizenship to determine voter eligibility.</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(a)  Not later than January 1, 2024, the secretary of state shall request that the federal Election Assistance Commission alter the mail voter registration application form requirements described in the National Voter Registration Act of 1993 (52 U.S.C. Section 20501 et seq.) to include a requirement that applicants submit documented proof of citizenship as a condition to registration in Texas.</w:t>
      </w:r>
    </w:p>
    <w:p w:rsidR="003F3435" w:rsidRDefault="0032493E">
      <w:pPr>
        <w:spacing w:line="480" w:lineRule="auto"/>
        <w:ind w:firstLine="720"/>
        <w:jc w:val="both"/>
      </w:pPr>
      <w:r>
        <w:t xml:space="preserve">(b)</w:t>
      </w:r>
      <w:r xml:space="preserve">
        <w:t> </w:t>
      </w:r>
      <w:r xml:space="preserve">
        <w:t> </w:t>
      </w:r>
      <w:r>
        <w:t xml:space="preserve">If the commission fails to comply before the 180th day following the secretary of state's request under this section, the attorney general shall seek enforcement in a court of law.</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1600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