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municipal libraries that host certain events from receiving state or other public funding.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315, Local Government Code, is amended by adding Section 315.0051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315.0051.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EVENTS AT MUNICIPAL LIBRARIES.  A municipal library may not receive state or other public funds if the library hosts an event at which a man presenting as a woman or a woman presenting as a man reads a book or a story to a minor for entertainment and the person being dressed as the opposite gender is a primary component of the entertainment. </w:t>
      </w:r>
      <w:r>
        <w:rPr>
          <w:u w:val="single"/>
        </w:rPr>
        <w:t xml:space="preserve"> </w:t>
      </w:r>
      <w:r>
        <w:rPr>
          <w:u w:val="single"/>
        </w:rPr>
        <w:t xml:space="preserve">The state and a political subdivision may not provide funds to the municipal library for the fiscal year following the year in which the library hosts an event described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event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