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1601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State Affairs;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2;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prohibiting municipal libraries that host certain events from receiving state funding.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315, Local Government Code, is amended by adding Section 315.0051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315.0051.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EVENTS AT MUNICIPAL LIBRARIES.  A municipal library may not receive state funds if the library hosts an event at which a man presenting as a woman or a woman presenting as a man reads a book or a story to a minor for entertainment and the person being dressed as the opposite gender is a primary component of the entertainment. </w:t>
      </w:r>
      <w:r>
        <w:rPr>
          <w:u w:val="single"/>
        </w:rPr>
        <w:t xml:space="preserve"> </w:t>
      </w:r>
      <w:r>
        <w:rPr>
          <w:u w:val="single"/>
        </w:rPr>
        <w:t xml:space="preserve">State funds for the municipal library shall be denied for the fiscal year following the year in which the library hosts an event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event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