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1608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date for the authorization of the issuance of bonds or a tax increase.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 Election Code, is amended by adding Section 41.0051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41.0051.</w:t>
      </w:r>
      <w:r>
        <w:rPr>
          <w:u w:val="single"/>
        </w:rPr>
        <w:t xml:space="preserve"> </w:t>
      </w:r>
      <w:r>
        <w:rPr>
          <w:u w:val="single"/>
        </w:rPr>
        <w:t xml:space="preserve"> </w:t>
      </w:r>
      <w:r>
        <w:rPr>
          <w:u w:val="single"/>
        </w:rPr>
        <w:t xml:space="preserve">ELECTION TO ISSUE BONDS OR INCREASE TAXES.  Notwithstanding any other law, an election for the issuance of bonds or a tax increase shall be held on the November uniform election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election ordered on or after the effective date of this Act. An election ordered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